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E54F8" w14:textId="5ADEB86F" w:rsidR="00712871" w:rsidRDefault="00712871" w:rsidP="00712871">
      <w:pPr>
        <w:jc w:val="both"/>
        <w:rPr>
          <w:rFonts w:ascii="Arial" w:hAnsi="Arial" w:cs="Arial"/>
          <w:b/>
          <w:bCs/>
          <w:color w:val="0070C0"/>
          <w:sz w:val="28"/>
          <w:szCs w:val="28"/>
        </w:rPr>
      </w:pPr>
      <w:proofErr w:type="spellStart"/>
      <w:r w:rsidRPr="00712871">
        <w:rPr>
          <w:rFonts w:ascii="Arial" w:hAnsi="Arial" w:cs="Arial"/>
          <w:b/>
          <w:bCs/>
          <w:color w:val="0070C0"/>
          <w:sz w:val="28"/>
          <w:szCs w:val="28"/>
        </w:rPr>
        <w:t>HuntX</w:t>
      </w:r>
      <w:proofErr w:type="spellEnd"/>
      <w:r w:rsidRPr="00712871">
        <w:rPr>
          <w:rFonts w:ascii="Arial" w:hAnsi="Arial" w:cs="Arial"/>
          <w:b/>
          <w:bCs/>
          <w:color w:val="0070C0"/>
          <w:sz w:val="28"/>
          <w:szCs w:val="28"/>
        </w:rPr>
        <w:t xml:space="preserve"> Pharma </w:t>
      </w:r>
      <w:proofErr w:type="spellStart"/>
      <w:r w:rsidRPr="00712871">
        <w:rPr>
          <w:rFonts w:ascii="Arial" w:hAnsi="Arial" w:cs="Arial"/>
          <w:b/>
          <w:bCs/>
          <w:color w:val="0070C0"/>
          <w:sz w:val="28"/>
          <w:szCs w:val="28"/>
        </w:rPr>
        <w:t>déc</w:t>
      </w:r>
      <w:proofErr w:type="spellEnd"/>
      <w:r w:rsidR="0040562E">
        <w:rPr>
          <w:rFonts w:ascii="Arial" w:hAnsi="Arial" w:cs="Arial"/>
          <w:b/>
          <w:bCs/>
          <w:color w:val="0070C0"/>
          <w:sz w:val="28"/>
          <w:szCs w:val="28"/>
        </w:rPr>
        <w:t>&gt;lauréat du</w:t>
      </w:r>
      <w:r w:rsidR="005F7A0E">
        <w:rPr>
          <w:rFonts w:ascii="Arial" w:hAnsi="Arial" w:cs="Arial"/>
          <w:b/>
          <w:bCs/>
          <w:color w:val="0070C0"/>
          <w:sz w:val="28"/>
          <w:szCs w:val="28"/>
        </w:rPr>
        <w:t xml:space="preserve"> </w:t>
      </w:r>
      <w:r w:rsidRPr="00712871">
        <w:rPr>
          <w:rFonts w:ascii="Arial" w:hAnsi="Arial" w:cs="Arial"/>
          <w:b/>
          <w:bCs/>
          <w:color w:val="0070C0"/>
          <w:sz w:val="28"/>
          <w:szCs w:val="28"/>
        </w:rPr>
        <w:t xml:space="preserve">concours </w:t>
      </w:r>
      <w:proofErr w:type="spellStart"/>
      <w:r w:rsidRPr="00712871">
        <w:rPr>
          <w:rFonts w:ascii="Arial" w:hAnsi="Arial" w:cs="Arial"/>
          <w:b/>
          <w:bCs/>
          <w:color w:val="0070C0"/>
          <w:sz w:val="28"/>
          <w:szCs w:val="28"/>
        </w:rPr>
        <w:t>I-Nov</w:t>
      </w:r>
      <w:proofErr w:type="spellEnd"/>
      <w:r w:rsidRPr="00712871">
        <w:rPr>
          <w:rFonts w:ascii="Arial" w:hAnsi="Arial" w:cs="Arial"/>
          <w:b/>
          <w:bCs/>
          <w:color w:val="0070C0"/>
          <w:sz w:val="28"/>
          <w:szCs w:val="28"/>
        </w:rPr>
        <w:t xml:space="preserve"> 2024 : </w:t>
      </w:r>
      <w:r w:rsidR="00564A32">
        <w:rPr>
          <w:rFonts w:ascii="Arial" w:hAnsi="Arial" w:cs="Arial"/>
          <w:b/>
          <w:bCs/>
          <w:color w:val="0070C0"/>
          <w:sz w:val="28"/>
          <w:szCs w:val="28"/>
        </w:rPr>
        <w:t>~</w:t>
      </w:r>
      <w:r>
        <w:rPr>
          <w:rFonts w:ascii="Arial" w:hAnsi="Arial" w:cs="Arial"/>
          <w:b/>
          <w:bCs/>
          <w:color w:val="0070C0"/>
          <w:sz w:val="28"/>
          <w:szCs w:val="28"/>
        </w:rPr>
        <w:t xml:space="preserve"> </w:t>
      </w:r>
      <w:r w:rsidR="0008097B" w:rsidRPr="0008097B">
        <w:rPr>
          <w:rFonts w:ascii="Arial" w:hAnsi="Arial" w:cs="Arial"/>
          <w:b/>
          <w:bCs/>
          <w:color w:val="0070C0"/>
          <w:sz w:val="28"/>
          <w:szCs w:val="28"/>
        </w:rPr>
        <w:t>2 millions d'euros pour accélérer son traitement révolutionnaire contre la maladie de Huntington</w:t>
      </w:r>
    </w:p>
    <w:p w14:paraId="74BFAC3D" w14:textId="4C5D0AF4" w:rsidR="0075709B" w:rsidRDefault="00712871" w:rsidP="0075709B">
      <w:pPr>
        <w:jc w:val="both"/>
        <w:rPr>
          <w:rFonts w:ascii="Arial" w:hAnsi="Arial" w:cs="Arial"/>
          <w:sz w:val="22"/>
          <w:szCs w:val="22"/>
        </w:rPr>
      </w:pPr>
      <w:r>
        <w:br/>
      </w:r>
      <w:r w:rsidR="00090A10">
        <w:rPr>
          <w:rFonts w:ascii="Arial" w:hAnsi="Arial" w:cs="Arial"/>
          <w:b/>
          <w:bCs/>
          <w:sz w:val="22"/>
          <w:szCs w:val="22"/>
        </w:rPr>
        <w:t>Grenoble</w:t>
      </w:r>
      <w:r w:rsidR="00433022" w:rsidRPr="00EE0DBA">
        <w:rPr>
          <w:rFonts w:ascii="Arial" w:hAnsi="Arial" w:cs="Arial"/>
          <w:b/>
          <w:bCs/>
          <w:sz w:val="22"/>
          <w:szCs w:val="22"/>
        </w:rPr>
        <w:t xml:space="preserve">, le </w:t>
      </w:r>
      <w:r w:rsidR="00BF3072">
        <w:rPr>
          <w:rFonts w:ascii="Arial" w:hAnsi="Arial" w:cs="Arial"/>
          <w:b/>
          <w:bCs/>
          <w:sz w:val="22"/>
          <w:szCs w:val="22"/>
        </w:rPr>
        <w:t>16</w:t>
      </w:r>
      <w:r w:rsidR="00BF3072">
        <w:rPr>
          <w:rFonts w:ascii="Arial" w:hAnsi="Arial" w:cs="Arial"/>
          <w:b/>
          <w:bCs/>
          <w:sz w:val="22"/>
          <w:szCs w:val="22"/>
        </w:rPr>
        <w:t xml:space="preserve"> </w:t>
      </w:r>
      <w:r w:rsidR="000C4F1C">
        <w:rPr>
          <w:rFonts w:ascii="Arial" w:hAnsi="Arial" w:cs="Arial"/>
          <w:b/>
          <w:bCs/>
          <w:sz w:val="22"/>
          <w:szCs w:val="22"/>
        </w:rPr>
        <w:t>juin</w:t>
      </w:r>
      <w:r w:rsidR="00433022" w:rsidRPr="00EE0DBA">
        <w:rPr>
          <w:rFonts w:ascii="Arial" w:hAnsi="Arial" w:cs="Arial"/>
          <w:b/>
          <w:bCs/>
          <w:sz w:val="22"/>
          <w:szCs w:val="22"/>
        </w:rPr>
        <w:t xml:space="preserve"> 202</w:t>
      </w:r>
      <w:r w:rsidR="000C4F1C">
        <w:rPr>
          <w:rFonts w:ascii="Arial" w:hAnsi="Arial" w:cs="Arial"/>
          <w:b/>
          <w:bCs/>
          <w:sz w:val="22"/>
          <w:szCs w:val="22"/>
        </w:rPr>
        <w:t>5</w:t>
      </w:r>
      <w:r w:rsidR="00433022" w:rsidRPr="00EE0DBA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75709B" w:rsidRPr="0075709B">
        <w:rPr>
          <w:rFonts w:ascii="Arial" w:hAnsi="Arial" w:cs="Arial"/>
          <w:sz w:val="22"/>
          <w:szCs w:val="22"/>
        </w:rPr>
        <w:t>HuntX</w:t>
      </w:r>
      <w:proofErr w:type="spellEnd"/>
      <w:r w:rsidR="0075709B" w:rsidRPr="0075709B">
        <w:rPr>
          <w:rFonts w:ascii="Arial" w:hAnsi="Arial" w:cs="Arial"/>
          <w:sz w:val="22"/>
          <w:szCs w:val="22"/>
        </w:rPr>
        <w:t xml:space="preserve"> Pharma, biotech grenobloise spécialisée dans les maladies neurodégénératives rares, </w:t>
      </w:r>
      <w:r w:rsidR="0008097B">
        <w:rPr>
          <w:rFonts w:ascii="Arial" w:hAnsi="Arial" w:cs="Arial"/>
          <w:sz w:val="22"/>
          <w:szCs w:val="22"/>
        </w:rPr>
        <w:t xml:space="preserve">est lauréat du </w:t>
      </w:r>
      <w:r w:rsidR="0008097B" w:rsidRPr="0008097B">
        <w:rPr>
          <w:rFonts w:ascii="Arial" w:hAnsi="Arial" w:cs="Arial"/>
          <w:sz w:val="22"/>
          <w:szCs w:val="22"/>
        </w:rPr>
        <w:t xml:space="preserve">concours </w:t>
      </w:r>
      <w:proofErr w:type="spellStart"/>
      <w:r w:rsidR="0008097B" w:rsidRPr="0008097B">
        <w:rPr>
          <w:rFonts w:ascii="Arial" w:hAnsi="Arial" w:cs="Arial"/>
          <w:sz w:val="22"/>
          <w:szCs w:val="22"/>
        </w:rPr>
        <w:t>I-Nov</w:t>
      </w:r>
      <w:proofErr w:type="spellEnd"/>
      <w:r w:rsidR="0008097B" w:rsidRPr="0008097B">
        <w:rPr>
          <w:rFonts w:ascii="Arial" w:hAnsi="Arial" w:cs="Arial"/>
          <w:sz w:val="22"/>
          <w:szCs w:val="22"/>
        </w:rPr>
        <w:t xml:space="preserve"> 2024, dispositif emblématique de France 2030</w:t>
      </w:r>
      <w:r w:rsidR="0075709B" w:rsidRPr="0075709B">
        <w:rPr>
          <w:rFonts w:ascii="Arial" w:hAnsi="Arial" w:cs="Arial"/>
          <w:sz w:val="22"/>
          <w:szCs w:val="22"/>
        </w:rPr>
        <w:t xml:space="preserve">. Cette distinction majeure s'accompagne d'un financement de </w:t>
      </w:r>
      <w:r w:rsidR="00564A32">
        <w:rPr>
          <w:rFonts w:ascii="Arial" w:hAnsi="Arial" w:cs="Arial"/>
          <w:sz w:val="22"/>
          <w:szCs w:val="22"/>
        </w:rPr>
        <w:t xml:space="preserve">~ </w:t>
      </w:r>
      <w:r w:rsidR="0075709B" w:rsidRPr="0075709B">
        <w:rPr>
          <w:rFonts w:ascii="Arial" w:hAnsi="Arial" w:cs="Arial"/>
          <w:sz w:val="22"/>
          <w:szCs w:val="22"/>
        </w:rPr>
        <w:t xml:space="preserve">2 millions d'euros destiné à accélérer les prochaines étapes du développement clinique de </w:t>
      </w:r>
      <w:r w:rsidR="00393321">
        <w:rPr>
          <w:rFonts w:ascii="Arial" w:hAnsi="Arial" w:cs="Arial"/>
          <w:sz w:val="22"/>
          <w:szCs w:val="22"/>
        </w:rPr>
        <w:t xml:space="preserve">sa </w:t>
      </w:r>
      <w:r w:rsidR="00564A32">
        <w:rPr>
          <w:rFonts w:ascii="Arial" w:hAnsi="Arial" w:cs="Arial"/>
          <w:sz w:val="22"/>
          <w:szCs w:val="22"/>
        </w:rPr>
        <w:t xml:space="preserve">première </w:t>
      </w:r>
      <w:r w:rsidR="00393321">
        <w:rPr>
          <w:rFonts w:ascii="Arial" w:hAnsi="Arial" w:cs="Arial"/>
          <w:sz w:val="22"/>
          <w:szCs w:val="22"/>
        </w:rPr>
        <w:t>molécule</w:t>
      </w:r>
      <w:r w:rsidR="0075709B" w:rsidRPr="0075709B">
        <w:rPr>
          <w:rFonts w:ascii="Arial" w:hAnsi="Arial" w:cs="Arial"/>
          <w:sz w:val="22"/>
          <w:szCs w:val="22"/>
        </w:rPr>
        <w:t xml:space="preserve"> contre la maladie de Huntington.</w:t>
      </w:r>
    </w:p>
    <w:p w14:paraId="4B7F9CDD" w14:textId="77777777" w:rsidR="0075709B" w:rsidRPr="0075709B" w:rsidRDefault="0075709B" w:rsidP="0075709B">
      <w:pPr>
        <w:jc w:val="both"/>
        <w:rPr>
          <w:rFonts w:ascii="Arial" w:hAnsi="Arial" w:cs="Arial"/>
          <w:sz w:val="22"/>
          <w:szCs w:val="22"/>
        </w:rPr>
      </w:pPr>
    </w:p>
    <w:p w14:paraId="0960DF8A" w14:textId="66A5015F" w:rsidR="0075709B" w:rsidRPr="0075709B" w:rsidRDefault="0075709B" w:rsidP="0075709B">
      <w:pPr>
        <w:jc w:val="both"/>
        <w:rPr>
          <w:rFonts w:ascii="Arial" w:hAnsi="Arial" w:cs="Arial"/>
          <w:b/>
          <w:bCs/>
          <w:color w:val="0070C0"/>
          <w:sz w:val="22"/>
          <w:szCs w:val="22"/>
        </w:rPr>
      </w:pPr>
      <w:r w:rsidRPr="0075709B">
        <w:rPr>
          <w:rFonts w:ascii="Arial" w:hAnsi="Arial" w:cs="Arial"/>
          <w:b/>
          <w:bCs/>
          <w:color w:val="0070C0"/>
          <w:sz w:val="22"/>
          <w:szCs w:val="22"/>
        </w:rPr>
        <w:t>Une innovation thérapeutique majeur</w:t>
      </w:r>
      <w:r>
        <w:rPr>
          <w:rFonts w:ascii="Arial" w:hAnsi="Arial" w:cs="Arial"/>
          <w:b/>
          <w:bCs/>
          <w:color w:val="0070C0"/>
          <w:sz w:val="22"/>
          <w:szCs w:val="22"/>
        </w:rPr>
        <w:t xml:space="preserve">e face à une maladie </w:t>
      </w:r>
      <w:r w:rsidR="001D593A">
        <w:rPr>
          <w:rFonts w:ascii="Arial" w:hAnsi="Arial" w:cs="Arial"/>
          <w:b/>
          <w:bCs/>
          <w:color w:val="0070C0"/>
          <w:sz w:val="22"/>
          <w:szCs w:val="22"/>
        </w:rPr>
        <w:t xml:space="preserve">fatale et </w:t>
      </w:r>
      <w:r>
        <w:rPr>
          <w:rFonts w:ascii="Arial" w:hAnsi="Arial" w:cs="Arial"/>
          <w:b/>
          <w:bCs/>
          <w:color w:val="0070C0"/>
          <w:sz w:val="22"/>
          <w:szCs w:val="22"/>
        </w:rPr>
        <w:t xml:space="preserve">sans traitement </w:t>
      </w:r>
    </w:p>
    <w:p w14:paraId="7B821F0B" w14:textId="77777777" w:rsidR="000C4F1C" w:rsidRDefault="000C4F1C" w:rsidP="00EE0DBA">
      <w:pPr>
        <w:jc w:val="both"/>
        <w:rPr>
          <w:rFonts w:ascii="Arial" w:hAnsi="Arial" w:cs="Arial"/>
          <w:sz w:val="22"/>
          <w:szCs w:val="22"/>
        </w:rPr>
      </w:pPr>
    </w:p>
    <w:p w14:paraId="30E1230F" w14:textId="597E2982" w:rsidR="0008097B" w:rsidRDefault="0008097B" w:rsidP="000809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8097B">
        <w:rPr>
          <w:rFonts w:ascii="Arial" w:hAnsi="Arial" w:cs="Arial"/>
          <w:color w:val="000000"/>
          <w:sz w:val="22"/>
          <w:szCs w:val="22"/>
        </w:rPr>
        <w:t>La maladie de Huntington condamne 300 000 personnes dans le monde, dont 18 000 en France</w:t>
      </w:r>
      <w:r w:rsidR="007E2C5E">
        <w:rPr>
          <w:rFonts w:ascii="Arial" w:hAnsi="Arial" w:cs="Arial"/>
          <w:color w:val="000000"/>
          <w:sz w:val="22"/>
          <w:szCs w:val="22"/>
        </w:rPr>
        <w:t>.</w:t>
      </w:r>
      <w:r w:rsidRPr="0008097B">
        <w:rPr>
          <w:rFonts w:ascii="Arial" w:hAnsi="Arial" w:cs="Arial"/>
          <w:color w:val="000000"/>
          <w:sz w:val="22"/>
          <w:szCs w:val="22"/>
        </w:rPr>
        <w:t xml:space="preserve"> </w:t>
      </w:r>
      <w:r w:rsidR="00E13FB9">
        <w:rPr>
          <w:rFonts w:ascii="Arial" w:hAnsi="Arial" w:cs="Arial"/>
          <w:color w:val="000000"/>
          <w:sz w:val="22"/>
          <w:szCs w:val="22"/>
        </w:rPr>
        <w:t>Il n’existe</w:t>
      </w:r>
      <w:r w:rsidR="00E13FB9" w:rsidRPr="0008097B">
        <w:rPr>
          <w:rFonts w:ascii="Arial" w:hAnsi="Arial" w:cs="Arial"/>
          <w:color w:val="000000"/>
          <w:sz w:val="22"/>
          <w:szCs w:val="22"/>
        </w:rPr>
        <w:t xml:space="preserve"> </w:t>
      </w:r>
      <w:r w:rsidRPr="0008097B">
        <w:rPr>
          <w:rFonts w:ascii="Arial" w:hAnsi="Arial" w:cs="Arial"/>
          <w:color w:val="000000"/>
          <w:sz w:val="22"/>
          <w:szCs w:val="22"/>
        </w:rPr>
        <w:t xml:space="preserve">aucun traitement </w:t>
      </w:r>
      <w:r w:rsidR="00E13FB9">
        <w:rPr>
          <w:rFonts w:ascii="Arial" w:hAnsi="Arial" w:cs="Arial"/>
          <w:color w:val="000000"/>
          <w:sz w:val="22"/>
          <w:szCs w:val="22"/>
        </w:rPr>
        <w:t>pour la soigner</w:t>
      </w:r>
      <w:r w:rsidRPr="0008097B">
        <w:rPr>
          <w:rFonts w:ascii="Arial" w:hAnsi="Arial" w:cs="Arial"/>
          <w:color w:val="000000"/>
          <w:sz w:val="22"/>
          <w:szCs w:val="22"/>
        </w:rPr>
        <w:t xml:space="preserve">. Cette affection neurodégénérative héréditaire </w:t>
      </w:r>
      <w:r w:rsidR="00C05A3A">
        <w:rPr>
          <w:rFonts w:ascii="Arial" w:hAnsi="Arial" w:cs="Arial"/>
          <w:color w:val="000000"/>
          <w:sz w:val="22"/>
          <w:szCs w:val="22"/>
        </w:rPr>
        <w:t xml:space="preserve">altère </w:t>
      </w:r>
      <w:r w:rsidRPr="0008097B">
        <w:rPr>
          <w:rFonts w:ascii="Arial" w:hAnsi="Arial" w:cs="Arial"/>
          <w:color w:val="000000"/>
          <w:sz w:val="22"/>
          <w:szCs w:val="22"/>
        </w:rPr>
        <w:t xml:space="preserve">progressivement mouvements, mémoire et personnalité </w:t>
      </w:r>
      <w:r w:rsidR="008C74A1">
        <w:rPr>
          <w:rFonts w:ascii="Arial" w:hAnsi="Arial" w:cs="Arial"/>
          <w:color w:val="000000"/>
          <w:sz w:val="22"/>
          <w:szCs w:val="22"/>
        </w:rPr>
        <w:t>avec un impact majeur sur la qualité de vie</w:t>
      </w:r>
      <w:r w:rsidRPr="0008097B">
        <w:rPr>
          <w:rFonts w:ascii="Arial" w:hAnsi="Arial" w:cs="Arial"/>
          <w:color w:val="000000"/>
          <w:sz w:val="22"/>
          <w:szCs w:val="22"/>
        </w:rPr>
        <w:t xml:space="preserve">, </w:t>
      </w:r>
      <w:r w:rsidR="008C74A1">
        <w:rPr>
          <w:rFonts w:ascii="Arial" w:hAnsi="Arial" w:cs="Arial"/>
          <w:color w:val="000000"/>
          <w:sz w:val="22"/>
          <w:szCs w:val="22"/>
        </w:rPr>
        <w:t xml:space="preserve">et </w:t>
      </w:r>
      <w:r w:rsidRPr="0008097B">
        <w:rPr>
          <w:rFonts w:ascii="Arial" w:hAnsi="Arial" w:cs="Arial"/>
          <w:color w:val="000000"/>
          <w:sz w:val="22"/>
          <w:szCs w:val="22"/>
        </w:rPr>
        <w:t>conduit inéluctablement</w:t>
      </w:r>
      <w:r w:rsidR="00DF284F">
        <w:rPr>
          <w:rFonts w:ascii="Arial" w:hAnsi="Arial" w:cs="Arial"/>
          <w:color w:val="000000"/>
          <w:sz w:val="22"/>
          <w:szCs w:val="22"/>
        </w:rPr>
        <w:t>,</w:t>
      </w:r>
      <w:r w:rsidR="00DF284F" w:rsidRPr="00DF284F">
        <w:rPr>
          <w:rFonts w:ascii="Arial" w:hAnsi="Arial" w:cs="Arial"/>
          <w:color w:val="000000"/>
          <w:sz w:val="22"/>
          <w:szCs w:val="22"/>
        </w:rPr>
        <w:t xml:space="preserve"> </w:t>
      </w:r>
      <w:r w:rsidR="00DF284F" w:rsidRPr="0008097B">
        <w:rPr>
          <w:rFonts w:ascii="Arial" w:hAnsi="Arial" w:cs="Arial"/>
          <w:color w:val="000000"/>
          <w:sz w:val="22"/>
          <w:szCs w:val="22"/>
        </w:rPr>
        <w:t>sur 15-20 ans</w:t>
      </w:r>
      <w:r w:rsidR="00DF284F">
        <w:rPr>
          <w:rFonts w:ascii="Arial" w:hAnsi="Arial" w:cs="Arial"/>
          <w:color w:val="000000"/>
          <w:sz w:val="22"/>
          <w:szCs w:val="22"/>
        </w:rPr>
        <w:t>,</w:t>
      </w:r>
      <w:r w:rsidRPr="0008097B">
        <w:rPr>
          <w:rFonts w:ascii="Arial" w:hAnsi="Arial" w:cs="Arial"/>
          <w:color w:val="000000"/>
          <w:sz w:val="22"/>
          <w:szCs w:val="22"/>
        </w:rPr>
        <w:t xml:space="preserve"> au décès</w:t>
      </w:r>
    </w:p>
    <w:p w14:paraId="313D2CB1" w14:textId="77777777" w:rsidR="0008097B" w:rsidRPr="0008097B" w:rsidRDefault="0008097B" w:rsidP="000809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80AD05D" w14:textId="580B412F" w:rsidR="0008097B" w:rsidRDefault="0008097B" w:rsidP="0008097B">
      <w:pPr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08097B">
        <w:rPr>
          <w:rFonts w:ascii="Arial" w:hAnsi="Arial" w:cs="Arial"/>
          <w:color w:val="000000"/>
          <w:sz w:val="22"/>
          <w:szCs w:val="22"/>
        </w:rPr>
        <w:t>HuntX</w:t>
      </w:r>
      <w:proofErr w:type="spellEnd"/>
      <w:r w:rsidRPr="0008097B">
        <w:rPr>
          <w:rFonts w:ascii="Arial" w:hAnsi="Arial" w:cs="Arial"/>
          <w:color w:val="000000"/>
          <w:sz w:val="22"/>
          <w:szCs w:val="22"/>
        </w:rPr>
        <w:t xml:space="preserve"> Pharma </w:t>
      </w:r>
      <w:r>
        <w:rPr>
          <w:rFonts w:ascii="Arial" w:hAnsi="Arial" w:cs="Arial"/>
          <w:color w:val="000000"/>
          <w:sz w:val="22"/>
          <w:szCs w:val="22"/>
        </w:rPr>
        <w:t xml:space="preserve">innove </w:t>
      </w:r>
      <w:r w:rsidR="008C74A1">
        <w:rPr>
          <w:rFonts w:ascii="Arial" w:hAnsi="Arial" w:cs="Arial"/>
          <w:color w:val="000000"/>
          <w:sz w:val="22"/>
          <w:szCs w:val="22"/>
        </w:rPr>
        <w:t>avec</w:t>
      </w:r>
      <w:r>
        <w:rPr>
          <w:rFonts w:ascii="Arial" w:hAnsi="Arial" w:cs="Arial"/>
          <w:color w:val="000000"/>
          <w:sz w:val="22"/>
          <w:szCs w:val="22"/>
        </w:rPr>
        <w:t xml:space="preserve"> son </w:t>
      </w:r>
      <w:r w:rsidRPr="0008097B">
        <w:rPr>
          <w:rFonts w:ascii="Arial" w:hAnsi="Arial" w:cs="Arial"/>
          <w:color w:val="000000"/>
          <w:sz w:val="22"/>
          <w:szCs w:val="22"/>
        </w:rPr>
        <w:t xml:space="preserve">approche : au lieu de détruire les protéines mutées comme tentent ses concurrents depuis trois décennies, l'entreprise les répare. « </w:t>
      </w:r>
      <w:r w:rsidRPr="0008097B">
        <w:rPr>
          <w:rFonts w:ascii="Arial" w:hAnsi="Arial" w:cs="Arial"/>
          <w:i/>
          <w:iCs/>
          <w:color w:val="000000"/>
          <w:sz w:val="22"/>
          <w:szCs w:val="22"/>
        </w:rPr>
        <w:t>Nous remettons les trains sur les rails au lieu de démolir la gare</w:t>
      </w:r>
      <w:r w:rsidRPr="0008097B">
        <w:rPr>
          <w:rFonts w:ascii="Arial" w:hAnsi="Arial" w:cs="Arial"/>
          <w:color w:val="000000"/>
          <w:sz w:val="22"/>
          <w:szCs w:val="22"/>
        </w:rPr>
        <w:t xml:space="preserve"> », résume </w:t>
      </w:r>
      <w:r w:rsidRPr="0008097B">
        <w:rPr>
          <w:rFonts w:ascii="Arial" w:hAnsi="Arial" w:cs="Arial"/>
          <w:b/>
          <w:bCs/>
          <w:color w:val="000000"/>
          <w:sz w:val="22"/>
          <w:szCs w:val="22"/>
        </w:rPr>
        <w:t xml:space="preserve">Laure Jamot, CEO de </w:t>
      </w:r>
      <w:proofErr w:type="spellStart"/>
      <w:r w:rsidRPr="0008097B">
        <w:rPr>
          <w:rFonts w:ascii="Arial" w:hAnsi="Arial" w:cs="Arial"/>
          <w:b/>
          <w:bCs/>
          <w:color w:val="000000"/>
          <w:sz w:val="22"/>
          <w:szCs w:val="22"/>
        </w:rPr>
        <w:t>HuntX</w:t>
      </w:r>
      <w:proofErr w:type="spellEnd"/>
      <w:r w:rsidRPr="0008097B">
        <w:rPr>
          <w:rFonts w:ascii="Arial" w:hAnsi="Arial" w:cs="Arial"/>
          <w:b/>
          <w:bCs/>
          <w:color w:val="000000"/>
          <w:sz w:val="22"/>
          <w:szCs w:val="22"/>
        </w:rPr>
        <w:t xml:space="preserve"> Pharma.</w:t>
      </w:r>
    </w:p>
    <w:p w14:paraId="76350D7B" w14:textId="77777777" w:rsidR="0008097B" w:rsidRPr="0008097B" w:rsidRDefault="0008097B" w:rsidP="000809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546F319" w14:textId="61E8586C" w:rsidR="00393321" w:rsidRDefault="0008097B" w:rsidP="000809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8097B">
        <w:rPr>
          <w:rFonts w:ascii="Arial" w:hAnsi="Arial" w:cs="Arial"/>
          <w:color w:val="000000"/>
          <w:sz w:val="22"/>
          <w:szCs w:val="22"/>
        </w:rPr>
        <w:t xml:space="preserve">La molécule HX127 cible le transport axonal – autoroute cellulaire vitale entre neurones. Quand ce système s'effondre dans Huntington, les cellules cérébrales meurent faute de nutriments essentiels. HX127 restaure cette circulation sans toucher à l'ADN, évitant les risques de la thérapie génique. </w:t>
      </w:r>
      <w:r w:rsidRPr="00304301">
        <w:rPr>
          <w:rFonts w:ascii="Arial" w:hAnsi="Arial" w:cs="Arial"/>
          <w:color w:val="000000"/>
          <w:sz w:val="22"/>
          <w:szCs w:val="22"/>
        </w:rPr>
        <w:t>Cette approche brevetée s'applique potentiellement à plus de 50 maladies neurodégénératives, ouvrant un marché de dizaines de milliards d'euros.</w:t>
      </w:r>
    </w:p>
    <w:p w14:paraId="4CA127A0" w14:textId="77777777" w:rsidR="0008097B" w:rsidRDefault="0008097B" w:rsidP="000809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887620D" w14:textId="4391F6EE" w:rsidR="00393321" w:rsidRDefault="00393321" w:rsidP="000C4F1C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70C0"/>
          <w:sz w:val="22"/>
          <w:szCs w:val="22"/>
        </w:rPr>
        <w:t xml:space="preserve">France 2030, moteur de l’innovation technologique française </w:t>
      </w:r>
    </w:p>
    <w:p w14:paraId="5BCB4590" w14:textId="77777777" w:rsidR="00066D25" w:rsidRPr="000C4F1C" w:rsidRDefault="00066D25" w:rsidP="000C4F1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4725CE8" w14:textId="77777777" w:rsidR="00393321" w:rsidRDefault="00393321" w:rsidP="0039332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93321">
        <w:rPr>
          <w:rFonts w:ascii="Arial" w:hAnsi="Arial" w:cs="Arial"/>
          <w:color w:val="000000"/>
          <w:sz w:val="22"/>
          <w:szCs w:val="22"/>
        </w:rPr>
        <w:t xml:space="preserve">Lancé par le Président de la République en octobre 2021, France 2030 est un plan ambitieux doté de 54 milliards d'euros. Il vise à transformer durablement des secteurs stratégiques comme l'énergie, la santé ou encore l'aéronautique, par l'innovation technologique et industrielle. </w:t>
      </w:r>
    </w:p>
    <w:p w14:paraId="11817FCC" w14:textId="77777777" w:rsidR="00393321" w:rsidRDefault="00393321" w:rsidP="0039332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6D5EF34" w14:textId="62632B50" w:rsidR="00393321" w:rsidRDefault="00393321" w:rsidP="0039332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93321">
        <w:rPr>
          <w:rFonts w:ascii="Arial" w:hAnsi="Arial" w:cs="Arial"/>
          <w:color w:val="000000"/>
          <w:sz w:val="22"/>
          <w:szCs w:val="22"/>
        </w:rPr>
        <w:t xml:space="preserve">Ce dispositif cible des projets d'excellence et soutient tout le cycle de vie de l'innovation, depuis la recherche fondamentale jusqu'à l'industrialisation. 50 % des moyens sont consacrés à la décarbonation de l'économie et 50 % sont dédiés aux acteurs émergents comme </w:t>
      </w:r>
      <w:proofErr w:type="spellStart"/>
      <w:r w:rsidRPr="00393321">
        <w:rPr>
          <w:rFonts w:ascii="Arial" w:hAnsi="Arial" w:cs="Arial"/>
          <w:color w:val="000000"/>
          <w:sz w:val="22"/>
          <w:szCs w:val="22"/>
        </w:rPr>
        <w:t>HuntX</w:t>
      </w:r>
      <w:proofErr w:type="spellEnd"/>
      <w:r w:rsidRPr="00393321">
        <w:rPr>
          <w:rFonts w:ascii="Arial" w:hAnsi="Arial" w:cs="Arial"/>
          <w:color w:val="000000"/>
          <w:sz w:val="22"/>
          <w:szCs w:val="22"/>
        </w:rPr>
        <w:t xml:space="preserve"> Pharma.</w:t>
      </w:r>
    </w:p>
    <w:p w14:paraId="1ABDEB11" w14:textId="77777777" w:rsidR="00393321" w:rsidRDefault="00393321" w:rsidP="0039332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5C8662B" w14:textId="4BC3FBED" w:rsidR="00393321" w:rsidRDefault="00393321" w:rsidP="00393321">
      <w:pPr>
        <w:jc w:val="both"/>
        <w:rPr>
          <w:rFonts w:ascii="Arial" w:hAnsi="Arial" w:cs="Arial"/>
          <w:b/>
          <w:bCs/>
          <w:color w:val="0070C0"/>
          <w:sz w:val="22"/>
          <w:szCs w:val="22"/>
        </w:rPr>
      </w:pPr>
      <w:r>
        <w:rPr>
          <w:rFonts w:ascii="Arial" w:hAnsi="Arial" w:cs="Arial"/>
          <w:b/>
          <w:bCs/>
          <w:color w:val="0070C0"/>
          <w:sz w:val="22"/>
          <w:szCs w:val="22"/>
        </w:rPr>
        <w:t xml:space="preserve">Prochaines étapes du développement </w:t>
      </w:r>
    </w:p>
    <w:p w14:paraId="1980BEBA" w14:textId="77777777" w:rsidR="00393321" w:rsidRDefault="00393321" w:rsidP="00393321">
      <w:pPr>
        <w:jc w:val="both"/>
        <w:rPr>
          <w:rFonts w:ascii="Arial" w:hAnsi="Arial" w:cs="Arial"/>
          <w:b/>
          <w:bCs/>
          <w:color w:val="0070C0"/>
          <w:sz w:val="22"/>
          <w:szCs w:val="22"/>
        </w:rPr>
      </w:pPr>
    </w:p>
    <w:p w14:paraId="465D4F6D" w14:textId="0F7AE7EA" w:rsidR="00393321" w:rsidRDefault="00393321" w:rsidP="0039332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93321">
        <w:rPr>
          <w:rFonts w:ascii="Arial" w:hAnsi="Arial" w:cs="Arial"/>
          <w:color w:val="000000"/>
          <w:sz w:val="22"/>
          <w:szCs w:val="22"/>
        </w:rPr>
        <w:t xml:space="preserve">Les </w:t>
      </w:r>
      <w:r w:rsidR="00532F2C">
        <w:rPr>
          <w:rFonts w:ascii="Arial" w:hAnsi="Arial" w:cs="Arial"/>
          <w:color w:val="000000"/>
          <w:sz w:val="22"/>
          <w:szCs w:val="22"/>
        </w:rPr>
        <w:t xml:space="preserve">~ </w:t>
      </w:r>
      <w:r w:rsidRPr="00393321">
        <w:rPr>
          <w:rFonts w:ascii="Arial" w:hAnsi="Arial" w:cs="Arial"/>
          <w:color w:val="000000"/>
          <w:sz w:val="22"/>
          <w:szCs w:val="22"/>
        </w:rPr>
        <w:t xml:space="preserve">2 millions d'euros obtenus financeront les études </w:t>
      </w:r>
      <w:r w:rsidR="00CB6B56">
        <w:rPr>
          <w:rFonts w:ascii="Arial" w:hAnsi="Arial" w:cs="Arial"/>
          <w:color w:val="000000"/>
          <w:sz w:val="22"/>
          <w:szCs w:val="22"/>
        </w:rPr>
        <w:t xml:space="preserve">de toxicité </w:t>
      </w:r>
      <w:r w:rsidRPr="00393321">
        <w:rPr>
          <w:rFonts w:ascii="Arial" w:hAnsi="Arial" w:cs="Arial"/>
          <w:color w:val="000000"/>
          <w:sz w:val="22"/>
          <w:szCs w:val="22"/>
        </w:rPr>
        <w:t xml:space="preserve">réglementaires prévues entre </w:t>
      </w:r>
      <w:r w:rsidR="00532F2C" w:rsidRPr="00393321">
        <w:rPr>
          <w:rFonts w:ascii="Arial" w:hAnsi="Arial" w:cs="Arial"/>
          <w:color w:val="000000"/>
          <w:sz w:val="22"/>
          <w:szCs w:val="22"/>
        </w:rPr>
        <w:t>202</w:t>
      </w:r>
      <w:r w:rsidR="00532F2C">
        <w:rPr>
          <w:rFonts w:ascii="Arial" w:hAnsi="Arial" w:cs="Arial"/>
          <w:color w:val="000000"/>
          <w:sz w:val="22"/>
          <w:szCs w:val="22"/>
        </w:rPr>
        <w:t>5</w:t>
      </w:r>
      <w:r w:rsidR="00532F2C" w:rsidRPr="00393321">
        <w:rPr>
          <w:rFonts w:ascii="Arial" w:hAnsi="Arial" w:cs="Arial"/>
          <w:color w:val="000000"/>
          <w:sz w:val="22"/>
          <w:szCs w:val="22"/>
        </w:rPr>
        <w:t xml:space="preserve"> </w:t>
      </w:r>
      <w:r w:rsidRPr="00393321">
        <w:rPr>
          <w:rFonts w:ascii="Arial" w:hAnsi="Arial" w:cs="Arial"/>
          <w:color w:val="000000"/>
          <w:sz w:val="22"/>
          <w:szCs w:val="22"/>
        </w:rPr>
        <w:t xml:space="preserve">et </w:t>
      </w:r>
      <w:r w:rsidR="00532F2C" w:rsidRPr="00393321">
        <w:rPr>
          <w:rFonts w:ascii="Arial" w:hAnsi="Arial" w:cs="Arial"/>
          <w:color w:val="000000"/>
          <w:sz w:val="22"/>
          <w:szCs w:val="22"/>
        </w:rPr>
        <w:t>202</w:t>
      </w:r>
      <w:r w:rsidR="00532F2C">
        <w:rPr>
          <w:rFonts w:ascii="Arial" w:hAnsi="Arial" w:cs="Arial"/>
          <w:color w:val="000000"/>
          <w:sz w:val="22"/>
          <w:szCs w:val="22"/>
        </w:rPr>
        <w:t>6</w:t>
      </w:r>
      <w:r w:rsidRPr="00393321">
        <w:rPr>
          <w:rFonts w:ascii="Arial" w:hAnsi="Arial" w:cs="Arial"/>
          <w:color w:val="000000"/>
          <w:sz w:val="22"/>
          <w:szCs w:val="22"/>
        </w:rPr>
        <w:t xml:space="preserve">, ainsi que le premier essai clinique chez </w:t>
      </w:r>
      <w:r w:rsidR="00D94A05" w:rsidRPr="00393321">
        <w:rPr>
          <w:rFonts w:ascii="Arial" w:hAnsi="Arial" w:cs="Arial"/>
          <w:color w:val="000000"/>
          <w:sz w:val="22"/>
          <w:szCs w:val="22"/>
        </w:rPr>
        <w:t>l'h</w:t>
      </w:r>
      <w:r w:rsidR="00D94A05">
        <w:rPr>
          <w:rFonts w:ascii="Arial" w:hAnsi="Arial" w:cs="Arial"/>
          <w:color w:val="000000"/>
          <w:sz w:val="22"/>
          <w:szCs w:val="22"/>
        </w:rPr>
        <w:t>omme</w:t>
      </w:r>
      <w:r w:rsidR="00D94A05" w:rsidRPr="00393321">
        <w:rPr>
          <w:rFonts w:ascii="Arial" w:hAnsi="Arial" w:cs="Arial"/>
          <w:color w:val="000000"/>
          <w:sz w:val="22"/>
          <w:szCs w:val="22"/>
        </w:rPr>
        <w:t xml:space="preserve"> </w:t>
      </w:r>
      <w:r w:rsidRPr="00393321">
        <w:rPr>
          <w:rFonts w:ascii="Arial" w:hAnsi="Arial" w:cs="Arial"/>
          <w:color w:val="000000"/>
          <w:sz w:val="22"/>
          <w:szCs w:val="22"/>
        </w:rPr>
        <w:t xml:space="preserve">à partir de 2026. </w:t>
      </w:r>
    </w:p>
    <w:p w14:paraId="5AB571F9" w14:textId="77777777" w:rsidR="00393321" w:rsidRDefault="00393321" w:rsidP="0039332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B041F8C" w14:textId="791FA823" w:rsidR="00393321" w:rsidRDefault="00393321" w:rsidP="00393321">
      <w:pPr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93321">
        <w:rPr>
          <w:rFonts w:ascii="Arial" w:hAnsi="Arial" w:cs="Arial"/>
          <w:color w:val="000000"/>
          <w:sz w:val="22"/>
          <w:szCs w:val="22"/>
        </w:rPr>
        <w:t>HuntX</w:t>
      </w:r>
      <w:proofErr w:type="spellEnd"/>
      <w:r w:rsidRPr="00393321">
        <w:rPr>
          <w:rFonts w:ascii="Arial" w:hAnsi="Arial" w:cs="Arial"/>
          <w:color w:val="000000"/>
          <w:sz w:val="22"/>
          <w:szCs w:val="22"/>
        </w:rPr>
        <w:t xml:space="preserve"> Pharma prépare également une nouvelle levée de fonds de 5 millions d'euros </w:t>
      </w:r>
      <w:r w:rsidR="006A1FD6">
        <w:rPr>
          <w:rFonts w:ascii="Arial" w:hAnsi="Arial" w:cs="Arial"/>
          <w:color w:val="000000"/>
          <w:sz w:val="22"/>
          <w:szCs w:val="22"/>
        </w:rPr>
        <w:t xml:space="preserve">pour </w:t>
      </w:r>
      <w:r w:rsidRPr="00393321">
        <w:rPr>
          <w:rFonts w:ascii="Arial" w:hAnsi="Arial" w:cs="Arial"/>
          <w:color w:val="000000"/>
          <w:sz w:val="22"/>
          <w:szCs w:val="22"/>
        </w:rPr>
        <w:t xml:space="preserve">début 2026 auprès de fonds de capital-risque pour soutenir </w:t>
      </w:r>
      <w:r w:rsidR="004E5607">
        <w:rPr>
          <w:rFonts w:ascii="Arial" w:hAnsi="Arial" w:cs="Arial"/>
          <w:color w:val="000000"/>
          <w:sz w:val="22"/>
          <w:szCs w:val="22"/>
        </w:rPr>
        <w:t>son développement clinique</w:t>
      </w:r>
      <w:r w:rsidRPr="00393321">
        <w:rPr>
          <w:rFonts w:ascii="Arial" w:hAnsi="Arial" w:cs="Arial"/>
          <w:color w:val="000000"/>
          <w:sz w:val="22"/>
          <w:szCs w:val="22"/>
        </w:rPr>
        <w:t xml:space="preserve"> et accélérer la mise sur le marché.</w:t>
      </w:r>
    </w:p>
    <w:p w14:paraId="55B0D3BC" w14:textId="77777777" w:rsidR="00393321" w:rsidRDefault="00393321" w:rsidP="0039332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B0CAE9F" w14:textId="77777777" w:rsidR="00393321" w:rsidRPr="00393321" w:rsidRDefault="00393321" w:rsidP="00393321">
      <w:pPr>
        <w:jc w:val="both"/>
        <w:rPr>
          <w:rFonts w:ascii="Arial" w:hAnsi="Arial" w:cs="Arial"/>
          <w:b/>
          <w:bCs/>
          <w:color w:val="0070C0"/>
          <w:sz w:val="22"/>
          <w:szCs w:val="22"/>
        </w:rPr>
      </w:pPr>
      <w:r w:rsidRPr="00393321">
        <w:rPr>
          <w:rFonts w:ascii="Arial" w:hAnsi="Arial" w:cs="Arial"/>
          <w:b/>
          <w:bCs/>
          <w:color w:val="0070C0"/>
          <w:sz w:val="22"/>
          <w:szCs w:val="22"/>
        </w:rPr>
        <w:t>Une dynamique scientifique confirmée</w:t>
      </w:r>
    </w:p>
    <w:p w14:paraId="506E69E7" w14:textId="77777777" w:rsidR="00393321" w:rsidRPr="00393321" w:rsidRDefault="00393321" w:rsidP="0039332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27526B5" w14:textId="76D357F2" w:rsidR="008528BC" w:rsidRDefault="00393321" w:rsidP="0039332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93321">
        <w:rPr>
          <w:rFonts w:ascii="Arial" w:hAnsi="Arial" w:cs="Arial"/>
          <w:color w:val="000000"/>
          <w:sz w:val="22"/>
          <w:szCs w:val="22"/>
        </w:rPr>
        <w:t>Cette distinction s'inscrit dans une dynamique scientifique forte</w:t>
      </w:r>
      <w:proofErr w:type="gramStart"/>
      <w:r w:rsidRPr="00393321">
        <w:rPr>
          <w:rFonts w:ascii="Arial" w:hAnsi="Arial" w:cs="Arial"/>
          <w:color w:val="000000"/>
          <w:sz w:val="22"/>
          <w:szCs w:val="22"/>
        </w:rPr>
        <w:t xml:space="preserve"> :</w:t>
      </w:r>
      <w:r w:rsidR="004E5607">
        <w:rPr>
          <w:rFonts w:ascii="Arial" w:hAnsi="Arial" w:cs="Arial"/>
          <w:color w:val="000000"/>
          <w:sz w:val="22"/>
          <w:szCs w:val="22"/>
        </w:rPr>
        <w:t>en</w:t>
      </w:r>
      <w:proofErr w:type="gramEnd"/>
      <w:r w:rsidR="004E5607">
        <w:rPr>
          <w:rFonts w:ascii="Arial" w:hAnsi="Arial" w:cs="Arial"/>
          <w:color w:val="000000"/>
          <w:sz w:val="22"/>
          <w:szCs w:val="22"/>
        </w:rPr>
        <w:t xml:space="preserve"> mai 2025</w:t>
      </w:r>
      <w:r w:rsidRPr="00393321">
        <w:rPr>
          <w:rFonts w:ascii="Arial" w:hAnsi="Arial" w:cs="Arial"/>
          <w:color w:val="000000"/>
          <w:sz w:val="22"/>
          <w:szCs w:val="22"/>
        </w:rPr>
        <w:t xml:space="preserve">, le Professeur Frédéric Saudou, co-fondateur de </w:t>
      </w:r>
      <w:proofErr w:type="spellStart"/>
      <w:r w:rsidRPr="00393321">
        <w:rPr>
          <w:rFonts w:ascii="Arial" w:hAnsi="Arial" w:cs="Arial"/>
          <w:color w:val="000000"/>
          <w:sz w:val="22"/>
          <w:szCs w:val="22"/>
        </w:rPr>
        <w:t>HuntX</w:t>
      </w:r>
      <w:proofErr w:type="spellEnd"/>
      <w:r w:rsidRPr="00393321">
        <w:rPr>
          <w:rFonts w:ascii="Arial" w:hAnsi="Arial" w:cs="Arial"/>
          <w:color w:val="000000"/>
          <w:sz w:val="22"/>
          <w:szCs w:val="22"/>
        </w:rPr>
        <w:t xml:space="preserve"> Pharma, est devenu le premier scientifique français à présider la prestigieuse Gordon Research </w:t>
      </w:r>
      <w:proofErr w:type="spellStart"/>
      <w:r w:rsidRPr="00393321">
        <w:rPr>
          <w:rFonts w:ascii="Arial" w:hAnsi="Arial" w:cs="Arial"/>
          <w:color w:val="000000"/>
          <w:sz w:val="22"/>
          <w:szCs w:val="22"/>
        </w:rPr>
        <w:t>Conference</w:t>
      </w:r>
      <w:proofErr w:type="spellEnd"/>
      <w:r w:rsidRPr="00393321">
        <w:rPr>
          <w:rFonts w:ascii="Arial" w:hAnsi="Arial" w:cs="Arial"/>
          <w:color w:val="000000"/>
          <w:sz w:val="22"/>
          <w:szCs w:val="22"/>
        </w:rPr>
        <w:t xml:space="preserve"> sur les maladies </w:t>
      </w:r>
      <w:r w:rsidR="000F73F2">
        <w:rPr>
          <w:rFonts w:ascii="Arial" w:hAnsi="Arial" w:cs="Arial"/>
          <w:color w:val="000000"/>
          <w:sz w:val="22"/>
          <w:szCs w:val="22"/>
        </w:rPr>
        <w:t xml:space="preserve">de Huntington et </w:t>
      </w:r>
      <w:r w:rsidR="000F73F2">
        <w:rPr>
          <w:rFonts w:ascii="Arial" w:hAnsi="Arial" w:cs="Arial"/>
          <w:color w:val="000000"/>
          <w:sz w:val="22"/>
          <w:szCs w:val="22"/>
        </w:rPr>
        <w:lastRenderedPageBreak/>
        <w:t>apparentées</w:t>
      </w:r>
      <w:r w:rsidRPr="00393321">
        <w:rPr>
          <w:rFonts w:ascii="Arial" w:hAnsi="Arial" w:cs="Arial"/>
          <w:color w:val="000000"/>
          <w:sz w:val="22"/>
          <w:szCs w:val="22"/>
        </w:rPr>
        <w:t>, consacrant ainsi l'approche thérapeutique révolutionnaire développée par l'entreprise.</w:t>
      </w:r>
    </w:p>
    <w:p w14:paraId="25124719" w14:textId="24E1D527" w:rsidR="00393321" w:rsidRPr="00393321" w:rsidRDefault="00393321" w:rsidP="0039332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93E639F" w14:textId="06BB04ED" w:rsidR="00393321" w:rsidRPr="00393321" w:rsidRDefault="00393321" w:rsidP="0039332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93321">
        <w:rPr>
          <w:rFonts w:ascii="Arial" w:hAnsi="Arial" w:cs="Arial"/>
          <w:color w:val="000000"/>
          <w:sz w:val="22"/>
          <w:szCs w:val="22"/>
        </w:rPr>
        <w:t xml:space="preserve">Créée en décembre 2022 après avoir remporté le grand prix </w:t>
      </w:r>
      <w:proofErr w:type="spellStart"/>
      <w:r w:rsidRPr="00393321">
        <w:rPr>
          <w:rFonts w:ascii="Arial" w:hAnsi="Arial" w:cs="Arial"/>
          <w:color w:val="000000"/>
          <w:sz w:val="22"/>
          <w:szCs w:val="22"/>
        </w:rPr>
        <w:t>iLab</w:t>
      </w:r>
      <w:proofErr w:type="spellEnd"/>
      <w:r w:rsidRPr="00393321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393321">
        <w:rPr>
          <w:rFonts w:ascii="Arial" w:hAnsi="Arial" w:cs="Arial"/>
          <w:color w:val="000000"/>
          <w:sz w:val="22"/>
          <w:szCs w:val="22"/>
        </w:rPr>
        <w:t>HuntX</w:t>
      </w:r>
      <w:proofErr w:type="spellEnd"/>
      <w:r w:rsidRPr="00393321">
        <w:rPr>
          <w:rFonts w:ascii="Arial" w:hAnsi="Arial" w:cs="Arial"/>
          <w:color w:val="000000"/>
          <w:sz w:val="22"/>
          <w:szCs w:val="22"/>
        </w:rPr>
        <w:t xml:space="preserve"> Pharma a démontré sa capacité d'exécution en respectant sa feuille de route.</w:t>
      </w:r>
    </w:p>
    <w:p w14:paraId="2EF629F1" w14:textId="77777777" w:rsidR="00393321" w:rsidRDefault="00393321" w:rsidP="000C4F1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CB989D3" w14:textId="715F1B88" w:rsidR="00393321" w:rsidRDefault="00393321" w:rsidP="000C4F1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93321">
        <w:rPr>
          <w:rFonts w:ascii="Arial" w:hAnsi="Arial" w:cs="Arial"/>
          <w:color w:val="000000"/>
          <w:sz w:val="22"/>
          <w:szCs w:val="22"/>
        </w:rPr>
        <w:t xml:space="preserve">« </w:t>
      </w:r>
      <w:r w:rsidRPr="00393321">
        <w:rPr>
          <w:rFonts w:ascii="Arial" w:hAnsi="Arial" w:cs="Arial"/>
          <w:i/>
          <w:iCs/>
          <w:color w:val="000000"/>
          <w:sz w:val="22"/>
          <w:szCs w:val="22"/>
        </w:rPr>
        <w:t xml:space="preserve">Remporter </w:t>
      </w:r>
      <w:proofErr w:type="spellStart"/>
      <w:r w:rsidRPr="00393321">
        <w:rPr>
          <w:rFonts w:ascii="Arial" w:hAnsi="Arial" w:cs="Arial"/>
          <w:i/>
          <w:iCs/>
          <w:color w:val="000000"/>
          <w:sz w:val="22"/>
          <w:szCs w:val="22"/>
        </w:rPr>
        <w:t>I-Nov</w:t>
      </w:r>
      <w:proofErr w:type="spellEnd"/>
      <w:r w:rsidRPr="00393321">
        <w:rPr>
          <w:rFonts w:ascii="Arial" w:hAnsi="Arial" w:cs="Arial"/>
          <w:i/>
          <w:iCs/>
          <w:color w:val="000000"/>
          <w:sz w:val="22"/>
          <w:szCs w:val="22"/>
        </w:rPr>
        <w:t xml:space="preserve"> valide pleinement notre stratégie scientifique et opérationnelle. Ce soutien nous permet d'accélérer significativement notre projet et d'offrir une solution innovante et accessible aux patients atteints de la maladie de Huntington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393321">
        <w:rPr>
          <w:rFonts w:ascii="Arial" w:hAnsi="Arial" w:cs="Arial"/>
          <w:color w:val="000000"/>
          <w:sz w:val="22"/>
          <w:szCs w:val="22"/>
        </w:rPr>
        <w:t>»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393321">
        <w:rPr>
          <w:rFonts w:ascii="Arial" w:hAnsi="Arial" w:cs="Arial"/>
          <w:color w:val="000000"/>
          <w:sz w:val="22"/>
          <w:szCs w:val="22"/>
        </w:rPr>
        <w:t xml:space="preserve">souligne </w:t>
      </w:r>
      <w:r w:rsidRPr="00393321">
        <w:rPr>
          <w:rFonts w:ascii="Arial" w:hAnsi="Arial" w:cs="Arial"/>
          <w:b/>
          <w:bCs/>
          <w:color w:val="000000"/>
          <w:sz w:val="22"/>
          <w:szCs w:val="22"/>
        </w:rPr>
        <w:t>Laure Jamot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Pr="00040ACF">
        <w:rPr>
          <w:rFonts w:ascii="Arial" w:hAnsi="Arial" w:cs="Arial"/>
          <w:b/>
          <w:bCs/>
          <w:color w:val="000000"/>
          <w:sz w:val="22"/>
          <w:szCs w:val="22"/>
        </w:rPr>
        <w:t>CEO d'</w:t>
      </w:r>
      <w:proofErr w:type="spellStart"/>
      <w:r w:rsidRPr="00040ACF">
        <w:rPr>
          <w:rFonts w:ascii="Arial" w:hAnsi="Arial" w:cs="Arial"/>
          <w:b/>
          <w:bCs/>
          <w:color w:val="000000"/>
          <w:sz w:val="22"/>
          <w:szCs w:val="22"/>
        </w:rPr>
        <w:t>HuntX</w:t>
      </w:r>
      <w:proofErr w:type="spellEnd"/>
      <w:r w:rsidRPr="00040ACF">
        <w:rPr>
          <w:rFonts w:ascii="Arial" w:hAnsi="Arial" w:cs="Arial"/>
          <w:b/>
          <w:bCs/>
          <w:color w:val="000000"/>
          <w:sz w:val="22"/>
          <w:szCs w:val="22"/>
        </w:rPr>
        <w:t xml:space="preserve"> Pharma.</w:t>
      </w:r>
    </w:p>
    <w:p w14:paraId="3CB2436F" w14:textId="7F2D43CF" w:rsidR="00091C38" w:rsidRDefault="00393321" w:rsidP="000C4F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</w:p>
    <w:p w14:paraId="1A2EEF97" w14:textId="77777777" w:rsidR="000C4F1C" w:rsidRPr="008A3832" w:rsidRDefault="000C4F1C" w:rsidP="000C4F1C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8A3832">
        <w:rPr>
          <w:rFonts w:ascii="Arial" w:hAnsi="Arial" w:cs="Arial"/>
          <w:b/>
          <w:bCs/>
          <w:color w:val="000000"/>
          <w:sz w:val="18"/>
          <w:szCs w:val="18"/>
        </w:rPr>
        <w:t xml:space="preserve">A propos de </w:t>
      </w:r>
      <w:proofErr w:type="spellStart"/>
      <w:r w:rsidRPr="008A3832">
        <w:rPr>
          <w:rFonts w:ascii="Arial" w:hAnsi="Arial" w:cs="Arial"/>
          <w:b/>
          <w:bCs/>
          <w:color w:val="000000"/>
          <w:sz w:val="18"/>
          <w:szCs w:val="18"/>
        </w:rPr>
        <w:t>Hunt</w:t>
      </w:r>
      <w:r>
        <w:rPr>
          <w:rFonts w:ascii="Arial" w:hAnsi="Arial" w:cs="Arial"/>
          <w:b/>
          <w:bCs/>
          <w:color w:val="000000"/>
          <w:sz w:val="18"/>
          <w:szCs w:val="18"/>
        </w:rPr>
        <w:t>X</w:t>
      </w:r>
      <w:proofErr w:type="spellEnd"/>
      <w:r w:rsidRPr="008A3832">
        <w:rPr>
          <w:rFonts w:ascii="Arial" w:hAnsi="Arial" w:cs="Arial"/>
          <w:b/>
          <w:bCs/>
          <w:color w:val="000000"/>
          <w:sz w:val="18"/>
          <w:szCs w:val="18"/>
        </w:rPr>
        <w:t xml:space="preserve"> pharma</w:t>
      </w:r>
    </w:p>
    <w:p w14:paraId="15AA3306" w14:textId="75494484" w:rsidR="000C4F1C" w:rsidRPr="00A06290" w:rsidRDefault="000C4F1C" w:rsidP="000C4F1C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8A3832">
        <w:rPr>
          <w:rFonts w:ascii="Arial" w:hAnsi="Arial" w:cs="Arial"/>
          <w:color w:val="000000"/>
          <w:sz w:val="18"/>
          <w:szCs w:val="18"/>
        </w:rPr>
        <w:t xml:space="preserve">La société </w:t>
      </w:r>
      <w:proofErr w:type="spellStart"/>
      <w:r w:rsidRPr="008A3832">
        <w:rPr>
          <w:rFonts w:ascii="Arial" w:hAnsi="Arial" w:cs="Arial"/>
          <w:color w:val="000000"/>
          <w:sz w:val="18"/>
          <w:szCs w:val="18"/>
        </w:rPr>
        <w:t>HuntX</w:t>
      </w:r>
      <w:proofErr w:type="spellEnd"/>
      <w:r w:rsidRPr="008A3832">
        <w:rPr>
          <w:rFonts w:ascii="Arial" w:hAnsi="Arial" w:cs="Arial"/>
          <w:color w:val="000000"/>
          <w:sz w:val="18"/>
          <w:szCs w:val="18"/>
        </w:rPr>
        <w:t xml:space="preserve"> Pharma</w:t>
      </w:r>
      <w:r>
        <w:rPr>
          <w:rFonts w:ascii="Arial" w:hAnsi="Arial" w:cs="Arial"/>
          <w:color w:val="000000"/>
          <w:sz w:val="18"/>
          <w:szCs w:val="18"/>
        </w:rPr>
        <w:t>, cofondée par Laure Jamot, Présidente</w:t>
      </w:r>
      <w:r w:rsidR="00695D7E">
        <w:rPr>
          <w:rFonts w:ascii="Arial" w:hAnsi="Arial" w:cs="Arial"/>
          <w:color w:val="000000"/>
          <w:sz w:val="18"/>
          <w:szCs w:val="18"/>
        </w:rPr>
        <w:t xml:space="preserve"> et spécialiste du développement clinique dans les maladies rares</w:t>
      </w:r>
      <w:r>
        <w:rPr>
          <w:rFonts w:ascii="Arial" w:hAnsi="Arial" w:cs="Arial"/>
          <w:color w:val="000000"/>
          <w:sz w:val="18"/>
          <w:szCs w:val="18"/>
        </w:rPr>
        <w:t xml:space="preserve"> et Frédéric Saudou, </w:t>
      </w:r>
      <w:r w:rsidR="00695D7E">
        <w:rPr>
          <w:rFonts w:ascii="Arial" w:hAnsi="Arial" w:cs="Arial"/>
          <w:color w:val="000000"/>
          <w:sz w:val="18"/>
          <w:szCs w:val="18"/>
        </w:rPr>
        <w:t>D</w:t>
      </w:r>
      <w:r w:rsidR="00FB177C">
        <w:rPr>
          <w:rFonts w:ascii="Arial" w:hAnsi="Arial" w:cs="Arial"/>
          <w:color w:val="000000"/>
          <w:sz w:val="18"/>
          <w:szCs w:val="18"/>
        </w:rPr>
        <w:t xml:space="preserve">irecteur </w:t>
      </w:r>
      <w:r w:rsidR="00695D7E">
        <w:rPr>
          <w:rFonts w:ascii="Arial" w:hAnsi="Arial" w:cs="Arial"/>
          <w:color w:val="000000"/>
          <w:sz w:val="18"/>
          <w:szCs w:val="18"/>
        </w:rPr>
        <w:t>S</w:t>
      </w:r>
      <w:r w:rsidR="00FB177C">
        <w:rPr>
          <w:rFonts w:ascii="Arial" w:hAnsi="Arial" w:cs="Arial"/>
          <w:color w:val="000000"/>
          <w:sz w:val="18"/>
          <w:szCs w:val="18"/>
        </w:rPr>
        <w:t xml:space="preserve">cientifique et </w:t>
      </w:r>
      <w:r w:rsidR="00695D7E">
        <w:rPr>
          <w:rFonts w:ascii="Arial" w:hAnsi="Arial" w:cs="Arial"/>
          <w:color w:val="000000"/>
          <w:sz w:val="18"/>
          <w:szCs w:val="18"/>
        </w:rPr>
        <w:t xml:space="preserve">ancien </w:t>
      </w:r>
      <w:r>
        <w:rPr>
          <w:rFonts w:ascii="Arial" w:hAnsi="Arial" w:cs="Arial"/>
          <w:color w:val="000000"/>
          <w:sz w:val="18"/>
          <w:szCs w:val="18"/>
        </w:rPr>
        <w:t xml:space="preserve">Directeur du Grenoble-Institut des Neurosciences de 2013 à 2023 (GIN), </w:t>
      </w:r>
      <w:r w:rsidRPr="008A3832">
        <w:rPr>
          <w:rFonts w:ascii="Arial" w:hAnsi="Arial" w:cs="Arial"/>
          <w:color w:val="000000"/>
          <w:sz w:val="18"/>
          <w:szCs w:val="18"/>
        </w:rPr>
        <w:t>est une société pharmaceutique créée à Grenoble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8A3832">
        <w:rPr>
          <w:rFonts w:ascii="Arial" w:hAnsi="Arial" w:cs="Arial"/>
          <w:color w:val="000000"/>
          <w:sz w:val="18"/>
          <w:szCs w:val="18"/>
        </w:rPr>
        <w:t xml:space="preserve">en décembre 2022 </w:t>
      </w:r>
      <w:r>
        <w:rPr>
          <w:rFonts w:ascii="Arial" w:hAnsi="Arial" w:cs="Arial"/>
          <w:color w:val="000000"/>
          <w:sz w:val="18"/>
          <w:szCs w:val="18"/>
        </w:rPr>
        <w:t>et</w:t>
      </w:r>
      <w:r w:rsidRPr="008A3832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accompagnée par la SATT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Linksium</w:t>
      </w:r>
      <w:proofErr w:type="spellEnd"/>
      <w:r w:rsidR="00695D7E">
        <w:rPr>
          <w:rFonts w:ascii="Arial" w:hAnsi="Arial" w:cs="Arial"/>
          <w:color w:val="000000"/>
          <w:sz w:val="18"/>
          <w:szCs w:val="18"/>
        </w:rPr>
        <w:t xml:space="preserve"> et la Région AURA</w:t>
      </w:r>
      <w:r>
        <w:rPr>
          <w:rFonts w:ascii="Arial" w:hAnsi="Arial" w:cs="Arial"/>
          <w:color w:val="000000"/>
          <w:sz w:val="18"/>
          <w:szCs w:val="18"/>
        </w:rPr>
        <w:t xml:space="preserve">. La société </w:t>
      </w:r>
      <w:r w:rsidRPr="008A3832">
        <w:rPr>
          <w:rFonts w:ascii="Arial" w:hAnsi="Arial" w:cs="Arial"/>
          <w:color w:val="000000"/>
          <w:sz w:val="18"/>
          <w:szCs w:val="18"/>
        </w:rPr>
        <w:t xml:space="preserve">développe </w:t>
      </w:r>
      <w:r>
        <w:rPr>
          <w:rFonts w:ascii="Arial" w:hAnsi="Arial" w:cs="Arial"/>
          <w:color w:val="000000"/>
          <w:sz w:val="18"/>
          <w:szCs w:val="18"/>
        </w:rPr>
        <w:t xml:space="preserve">des </w:t>
      </w:r>
      <w:r w:rsidRPr="008A3832">
        <w:rPr>
          <w:rFonts w:ascii="Arial" w:hAnsi="Arial" w:cs="Arial"/>
          <w:color w:val="000000"/>
          <w:sz w:val="18"/>
          <w:szCs w:val="18"/>
        </w:rPr>
        <w:t>molécule</w:t>
      </w:r>
      <w:r>
        <w:rPr>
          <w:rFonts w:ascii="Arial" w:hAnsi="Arial" w:cs="Arial"/>
          <w:color w:val="000000"/>
          <w:sz w:val="18"/>
          <w:szCs w:val="18"/>
        </w:rPr>
        <w:t>s</w:t>
      </w:r>
      <w:r w:rsidRPr="008A3832">
        <w:rPr>
          <w:rFonts w:ascii="Arial" w:hAnsi="Arial" w:cs="Arial"/>
          <w:color w:val="000000"/>
          <w:sz w:val="18"/>
          <w:szCs w:val="18"/>
        </w:rPr>
        <w:t>, pour des maladies neurologiques liées à des défauts de transport axonal</w:t>
      </w:r>
      <w:r>
        <w:rPr>
          <w:rFonts w:ascii="Arial" w:hAnsi="Arial" w:cs="Arial"/>
          <w:color w:val="000000"/>
          <w:sz w:val="18"/>
          <w:szCs w:val="18"/>
        </w:rPr>
        <w:t xml:space="preserve"> dont la première contre la maladie de Huntington. </w:t>
      </w:r>
      <w:r w:rsidRPr="008A3832">
        <w:rPr>
          <w:rFonts w:ascii="Arial" w:hAnsi="Arial" w:cs="Arial"/>
          <w:color w:val="000000"/>
          <w:sz w:val="18"/>
          <w:szCs w:val="18"/>
        </w:rPr>
        <w:t xml:space="preserve">Le mécanisme d’action de cette molécule a permis de </w:t>
      </w:r>
      <w:r w:rsidR="007E6E2D">
        <w:rPr>
          <w:rFonts w:ascii="Arial" w:hAnsi="Arial" w:cs="Arial"/>
          <w:color w:val="000000"/>
          <w:sz w:val="18"/>
          <w:szCs w:val="18"/>
        </w:rPr>
        <w:t xml:space="preserve">démontrer son bénéfice </w:t>
      </w:r>
      <w:r w:rsidRPr="008A3832">
        <w:rPr>
          <w:rFonts w:ascii="Arial" w:hAnsi="Arial" w:cs="Arial"/>
          <w:color w:val="000000"/>
          <w:sz w:val="18"/>
          <w:szCs w:val="18"/>
        </w:rPr>
        <w:t xml:space="preserve">dans plusieurs modèles </w:t>
      </w:r>
      <w:r>
        <w:rPr>
          <w:rFonts w:ascii="Arial" w:hAnsi="Arial" w:cs="Arial"/>
          <w:color w:val="000000"/>
          <w:sz w:val="18"/>
          <w:szCs w:val="18"/>
        </w:rPr>
        <w:t>de cette</w:t>
      </w:r>
      <w:r w:rsidRPr="008A3832">
        <w:rPr>
          <w:rFonts w:ascii="Arial" w:hAnsi="Arial" w:cs="Arial"/>
          <w:color w:val="000000"/>
          <w:sz w:val="18"/>
          <w:szCs w:val="18"/>
        </w:rPr>
        <w:t xml:space="preserve"> pathologie </w:t>
      </w:r>
      <w:proofErr w:type="spellStart"/>
      <w:proofErr w:type="gramStart"/>
      <w:r w:rsidRPr="008A3832">
        <w:rPr>
          <w:rFonts w:ascii="Arial" w:hAnsi="Arial" w:cs="Arial"/>
          <w:color w:val="000000"/>
          <w:sz w:val="18"/>
          <w:szCs w:val="18"/>
        </w:rPr>
        <w:t>neurodégénérative</w:t>
      </w:r>
      <w:r w:rsidR="002D565E">
        <w:rPr>
          <w:rFonts w:ascii="Arial" w:hAnsi="Arial" w:cs="Arial"/>
          <w:color w:val="000000"/>
          <w:sz w:val="18"/>
          <w:szCs w:val="18"/>
        </w:rPr>
        <w:t>.</w:t>
      </w:r>
      <w:r w:rsidRPr="008A3832">
        <w:rPr>
          <w:rFonts w:ascii="Arial" w:hAnsi="Arial" w:cs="Arial"/>
          <w:color w:val="000000"/>
          <w:sz w:val="18"/>
          <w:szCs w:val="18"/>
        </w:rPr>
        <w:t>Un</w:t>
      </w:r>
      <w:proofErr w:type="spellEnd"/>
      <w:proofErr w:type="gramEnd"/>
      <w:r w:rsidRPr="008A3832">
        <w:rPr>
          <w:rFonts w:ascii="Arial" w:hAnsi="Arial" w:cs="Arial"/>
          <w:color w:val="000000"/>
          <w:sz w:val="18"/>
          <w:szCs w:val="18"/>
        </w:rPr>
        <w:t xml:space="preserve"> brevet déposé par l’Université Grenoble Alpes a été sous-licencié par la société </w:t>
      </w:r>
      <w:proofErr w:type="spellStart"/>
      <w:r w:rsidRPr="008A3832">
        <w:rPr>
          <w:rFonts w:ascii="Arial" w:hAnsi="Arial" w:cs="Arial"/>
          <w:color w:val="000000"/>
          <w:sz w:val="18"/>
          <w:szCs w:val="18"/>
        </w:rPr>
        <w:t>HuntX</w:t>
      </w:r>
      <w:proofErr w:type="spellEnd"/>
      <w:r w:rsidRPr="008A3832">
        <w:rPr>
          <w:rFonts w:ascii="Arial" w:hAnsi="Arial" w:cs="Arial"/>
          <w:color w:val="000000"/>
          <w:sz w:val="18"/>
          <w:szCs w:val="18"/>
        </w:rPr>
        <w:t xml:space="preserve"> Pharma </w:t>
      </w:r>
      <w:r>
        <w:rPr>
          <w:rFonts w:ascii="Arial" w:hAnsi="Arial" w:cs="Arial"/>
          <w:color w:val="000000"/>
          <w:sz w:val="18"/>
          <w:szCs w:val="18"/>
        </w:rPr>
        <w:t xml:space="preserve">qui porte son </w:t>
      </w:r>
      <w:r w:rsidRPr="008A3832">
        <w:rPr>
          <w:rFonts w:ascii="Arial" w:hAnsi="Arial" w:cs="Arial"/>
          <w:color w:val="000000"/>
          <w:sz w:val="18"/>
          <w:szCs w:val="18"/>
        </w:rPr>
        <w:t>développement clinique avec un premier focus sur l’indication « maladie de Huntington ».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hyperlink r:id="rId8" w:history="1">
        <w:r w:rsidRPr="005652F7">
          <w:rPr>
            <w:rStyle w:val="Lienhypertexte"/>
            <w:rFonts w:ascii="Arial" w:hAnsi="Arial" w:cs="Arial"/>
            <w:sz w:val="18"/>
            <w:szCs w:val="18"/>
          </w:rPr>
          <w:t>https://www.huntxpharma.com</w:t>
        </w:r>
      </w:hyperlink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5B70A3CB" w14:textId="77777777" w:rsidR="00796141" w:rsidRDefault="00796141" w:rsidP="00EE0DBA">
      <w:pPr>
        <w:jc w:val="both"/>
        <w:rPr>
          <w:rFonts w:ascii="Arial" w:hAnsi="Arial" w:cs="Arial"/>
          <w:sz w:val="22"/>
          <w:szCs w:val="22"/>
        </w:rPr>
      </w:pPr>
    </w:p>
    <w:p w14:paraId="4E52BB35" w14:textId="77777777" w:rsidR="00091C38" w:rsidRDefault="003735F8" w:rsidP="00091C38">
      <w:pPr>
        <w:tabs>
          <w:tab w:val="left" w:pos="5009"/>
        </w:tabs>
        <w:ind w:right="59"/>
        <w:rPr>
          <w:rFonts w:ascii="Arial" w:hAnsi="Arial" w:cs="Arial"/>
          <w:sz w:val="22"/>
          <w:szCs w:val="22"/>
        </w:rPr>
      </w:pPr>
      <w:r w:rsidRPr="00781AB5">
        <w:rPr>
          <w:rFonts w:ascii="Arial" w:hAnsi="Arial" w:cs="Arial"/>
          <w:b/>
          <w:bCs/>
          <w:sz w:val="22"/>
          <w:szCs w:val="22"/>
        </w:rPr>
        <w:t>Contact presse</w:t>
      </w:r>
      <w:r>
        <w:rPr>
          <w:rFonts w:ascii="Arial" w:hAnsi="Arial" w:cs="Arial"/>
          <w:sz w:val="22"/>
          <w:szCs w:val="22"/>
        </w:rPr>
        <w:t xml:space="preserve"> : </w:t>
      </w:r>
    </w:p>
    <w:p w14:paraId="1D24E36F" w14:textId="1CC94FD7" w:rsidR="00433022" w:rsidRPr="00091C38" w:rsidRDefault="00091C38" w:rsidP="00091C38">
      <w:pPr>
        <w:tabs>
          <w:tab w:val="left" w:pos="5009"/>
        </w:tabs>
        <w:ind w:right="5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Pr="00091C38">
        <w:rPr>
          <w:rFonts w:ascii="Arial" w:hAnsi="Arial" w:cs="Arial"/>
          <w:sz w:val="22"/>
          <w:szCs w:val="22"/>
        </w:rPr>
        <w:t>Thierri KOUMAGNON</w:t>
      </w:r>
    </w:p>
    <w:p w14:paraId="78FFD833" w14:textId="208DF249" w:rsidR="00091C38" w:rsidRPr="00091C38" w:rsidRDefault="00091C38">
      <w:pPr>
        <w:rPr>
          <w:rFonts w:ascii="Arial" w:hAnsi="Arial" w:cs="Arial"/>
          <w:sz w:val="22"/>
          <w:szCs w:val="22"/>
        </w:rPr>
      </w:pPr>
      <w:hyperlink r:id="rId9" w:history="1">
        <w:r w:rsidRPr="00091C38">
          <w:rPr>
            <w:rStyle w:val="Lienhypertexte"/>
            <w:rFonts w:ascii="Arial" w:hAnsi="Arial" w:cs="Arial"/>
            <w:sz w:val="22"/>
            <w:szCs w:val="22"/>
          </w:rPr>
          <w:t>t.koumagnon@bcadvisory.fr</w:t>
        </w:r>
      </w:hyperlink>
      <w:r w:rsidRPr="00091C38">
        <w:rPr>
          <w:rFonts w:ascii="Arial" w:hAnsi="Arial" w:cs="Arial"/>
          <w:sz w:val="22"/>
          <w:szCs w:val="22"/>
        </w:rPr>
        <w:t xml:space="preserve"> </w:t>
      </w:r>
    </w:p>
    <w:p w14:paraId="1F9D70B0" w14:textId="172FE96E" w:rsidR="00091C38" w:rsidRPr="00091C38" w:rsidRDefault="00091C38">
      <w:pPr>
        <w:rPr>
          <w:rFonts w:ascii="Arial" w:hAnsi="Arial" w:cs="Arial"/>
          <w:sz w:val="22"/>
          <w:szCs w:val="22"/>
        </w:rPr>
      </w:pPr>
      <w:r w:rsidRPr="00091C38">
        <w:rPr>
          <w:rFonts w:ascii="Arial" w:hAnsi="Arial" w:cs="Arial"/>
          <w:sz w:val="22"/>
          <w:szCs w:val="22"/>
        </w:rPr>
        <w:t>Tél. +33 (0)7 82 38 58 35</w:t>
      </w:r>
    </w:p>
    <w:p w14:paraId="487B88A6" w14:textId="77777777" w:rsidR="00504AA9" w:rsidRDefault="00504AA9" w:rsidP="00504AA9">
      <w:pPr>
        <w:jc w:val="both"/>
        <w:rPr>
          <w:rFonts w:ascii="Arial" w:hAnsi="Arial" w:cs="Arial"/>
          <w:color w:val="000000"/>
          <w:sz w:val="18"/>
          <w:szCs w:val="18"/>
        </w:rPr>
      </w:pPr>
    </w:p>
    <w:sectPr w:rsidR="00504AA9" w:rsidSect="00A24A97">
      <w:head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48969" w14:textId="77777777" w:rsidR="00431D24" w:rsidRDefault="00431D24" w:rsidP="00504AA9">
      <w:r>
        <w:separator/>
      </w:r>
    </w:p>
  </w:endnote>
  <w:endnote w:type="continuationSeparator" w:id="0">
    <w:p w14:paraId="740DF550" w14:textId="77777777" w:rsidR="00431D24" w:rsidRDefault="00431D24" w:rsidP="00504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750E3" w14:textId="77777777" w:rsidR="00431D24" w:rsidRDefault="00431D24" w:rsidP="00504AA9">
      <w:r>
        <w:separator/>
      </w:r>
    </w:p>
  </w:footnote>
  <w:footnote w:type="continuationSeparator" w:id="0">
    <w:p w14:paraId="0D2A1401" w14:textId="77777777" w:rsidR="00431D24" w:rsidRDefault="00431D24" w:rsidP="00504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B2C85" w14:textId="451E87C0" w:rsidR="00504AA9" w:rsidRDefault="00504AA9">
    <w:pPr>
      <w:pStyle w:val="En-tte"/>
    </w:pPr>
    <w:r>
      <w:rPr>
        <w:b/>
        <w:bCs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3F4AA02D" wp14:editId="132ED05B">
          <wp:simplePos x="0" y="0"/>
          <wp:positionH relativeFrom="column">
            <wp:posOffset>-863600</wp:posOffset>
          </wp:positionH>
          <wp:positionV relativeFrom="paragraph">
            <wp:posOffset>-394335</wp:posOffset>
          </wp:positionV>
          <wp:extent cx="2768600" cy="850900"/>
          <wp:effectExtent l="0" t="0" r="0" b="0"/>
          <wp:wrapTight wrapText="bothSides">
            <wp:wrapPolygon edited="0">
              <wp:start x="0" y="0"/>
              <wp:lineTo x="0" y="21278"/>
              <wp:lineTo x="21501" y="21278"/>
              <wp:lineTo x="21501" y="0"/>
              <wp:lineTo x="0" y="0"/>
            </wp:wrapPolygon>
          </wp:wrapTight>
          <wp:docPr id="1683215278" name="Image 1" descr="Une image contenant Police, logo, Graphique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3215278" name="Image 1" descr="Une image contenant Police, logo, Graphique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8600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B11AA9"/>
    <w:multiLevelType w:val="hybridMultilevel"/>
    <w:tmpl w:val="58E4BB24"/>
    <w:lvl w:ilvl="0" w:tplc="3BB871CE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C3D57"/>
    <w:multiLevelType w:val="multilevel"/>
    <w:tmpl w:val="C22CC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2D07AB"/>
    <w:multiLevelType w:val="multilevel"/>
    <w:tmpl w:val="AF4C8B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FDA2971"/>
    <w:multiLevelType w:val="multilevel"/>
    <w:tmpl w:val="35AEC4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FDC5F9D"/>
    <w:multiLevelType w:val="hybridMultilevel"/>
    <w:tmpl w:val="D05E2160"/>
    <w:lvl w:ilvl="0" w:tplc="8AA2CCD6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630255">
    <w:abstractNumId w:val="0"/>
  </w:num>
  <w:num w:numId="2" w16cid:durableId="1400859683">
    <w:abstractNumId w:val="4"/>
  </w:num>
  <w:num w:numId="3" w16cid:durableId="500507050">
    <w:abstractNumId w:val="3"/>
  </w:num>
  <w:num w:numId="4" w16cid:durableId="1655256683">
    <w:abstractNumId w:val="2"/>
  </w:num>
  <w:num w:numId="5" w16cid:durableId="958995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A9"/>
    <w:rsid w:val="000053F7"/>
    <w:rsid w:val="000225BE"/>
    <w:rsid w:val="00040ACF"/>
    <w:rsid w:val="00053EF6"/>
    <w:rsid w:val="00066D25"/>
    <w:rsid w:val="0008097B"/>
    <w:rsid w:val="00090A10"/>
    <w:rsid w:val="00091C38"/>
    <w:rsid w:val="00097F3D"/>
    <w:rsid w:val="000B66B2"/>
    <w:rsid w:val="000C4F1C"/>
    <w:rsid w:val="000F73F2"/>
    <w:rsid w:val="001518E2"/>
    <w:rsid w:val="00163DD3"/>
    <w:rsid w:val="0016785A"/>
    <w:rsid w:val="001D42C6"/>
    <w:rsid w:val="001D593A"/>
    <w:rsid w:val="001D79B0"/>
    <w:rsid w:val="001E07FB"/>
    <w:rsid w:val="0023600C"/>
    <w:rsid w:val="00286193"/>
    <w:rsid w:val="002A2C8E"/>
    <w:rsid w:val="002B108A"/>
    <w:rsid w:val="002D565E"/>
    <w:rsid w:val="002E086D"/>
    <w:rsid w:val="00304301"/>
    <w:rsid w:val="003271A0"/>
    <w:rsid w:val="003477ED"/>
    <w:rsid w:val="003735F8"/>
    <w:rsid w:val="00374FB7"/>
    <w:rsid w:val="00393321"/>
    <w:rsid w:val="003A2F1C"/>
    <w:rsid w:val="003E737C"/>
    <w:rsid w:val="003F498C"/>
    <w:rsid w:val="00400CDB"/>
    <w:rsid w:val="004027A7"/>
    <w:rsid w:val="0040562E"/>
    <w:rsid w:val="00431D24"/>
    <w:rsid w:val="00433022"/>
    <w:rsid w:val="00461A56"/>
    <w:rsid w:val="0046401E"/>
    <w:rsid w:val="004E5607"/>
    <w:rsid w:val="00504AA9"/>
    <w:rsid w:val="00532F2C"/>
    <w:rsid w:val="005371A2"/>
    <w:rsid w:val="00564A32"/>
    <w:rsid w:val="00572383"/>
    <w:rsid w:val="00596865"/>
    <w:rsid w:val="005A2B81"/>
    <w:rsid w:val="005B4618"/>
    <w:rsid w:val="005C144F"/>
    <w:rsid w:val="005F7A0E"/>
    <w:rsid w:val="00602111"/>
    <w:rsid w:val="00625641"/>
    <w:rsid w:val="00687E6B"/>
    <w:rsid w:val="00695D7E"/>
    <w:rsid w:val="006A1FD6"/>
    <w:rsid w:val="006A533D"/>
    <w:rsid w:val="00712871"/>
    <w:rsid w:val="00734863"/>
    <w:rsid w:val="00744075"/>
    <w:rsid w:val="00744E5C"/>
    <w:rsid w:val="0075709B"/>
    <w:rsid w:val="007612CC"/>
    <w:rsid w:val="00781AB5"/>
    <w:rsid w:val="00787072"/>
    <w:rsid w:val="007908A4"/>
    <w:rsid w:val="00796141"/>
    <w:rsid w:val="007A2729"/>
    <w:rsid w:val="007B4546"/>
    <w:rsid w:val="007D5764"/>
    <w:rsid w:val="007E2C5E"/>
    <w:rsid w:val="007E6E2D"/>
    <w:rsid w:val="00801D33"/>
    <w:rsid w:val="00820185"/>
    <w:rsid w:val="0082076C"/>
    <w:rsid w:val="008307E1"/>
    <w:rsid w:val="008528BC"/>
    <w:rsid w:val="008536DA"/>
    <w:rsid w:val="00861D00"/>
    <w:rsid w:val="008C3AFD"/>
    <w:rsid w:val="008C74A1"/>
    <w:rsid w:val="008F45AE"/>
    <w:rsid w:val="00900889"/>
    <w:rsid w:val="009101A5"/>
    <w:rsid w:val="00912899"/>
    <w:rsid w:val="00913D1B"/>
    <w:rsid w:val="00956A4B"/>
    <w:rsid w:val="009A3773"/>
    <w:rsid w:val="00A24A97"/>
    <w:rsid w:val="00AE378D"/>
    <w:rsid w:val="00AE3EFF"/>
    <w:rsid w:val="00AE5815"/>
    <w:rsid w:val="00B11082"/>
    <w:rsid w:val="00B218BC"/>
    <w:rsid w:val="00B4444B"/>
    <w:rsid w:val="00B54ACD"/>
    <w:rsid w:val="00B55FEF"/>
    <w:rsid w:val="00B83C32"/>
    <w:rsid w:val="00B87E9F"/>
    <w:rsid w:val="00BD2F66"/>
    <w:rsid w:val="00BD334A"/>
    <w:rsid w:val="00BF3072"/>
    <w:rsid w:val="00C05A3A"/>
    <w:rsid w:val="00C50C7F"/>
    <w:rsid w:val="00C51E72"/>
    <w:rsid w:val="00C67930"/>
    <w:rsid w:val="00CA1EBD"/>
    <w:rsid w:val="00CB6B56"/>
    <w:rsid w:val="00CE329A"/>
    <w:rsid w:val="00D35F31"/>
    <w:rsid w:val="00D63B69"/>
    <w:rsid w:val="00D7427E"/>
    <w:rsid w:val="00D84CE2"/>
    <w:rsid w:val="00D863AE"/>
    <w:rsid w:val="00D94A05"/>
    <w:rsid w:val="00DA02EE"/>
    <w:rsid w:val="00DF284F"/>
    <w:rsid w:val="00E11A9B"/>
    <w:rsid w:val="00E13FB9"/>
    <w:rsid w:val="00EC0154"/>
    <w:rsid w:val="00ED045F"/>
    <w:rsid w:val="00ED6EF2"/>
    <w:rsid w:val="00EE0DBA"/>
    <w:rsid w:val="00EE15B7"/>
    <w:rsid w:val="00F431CC"/>
    <w:rsid w:val="00F52AFC"/>
    <w:rsid w:val="00F579D2"/>
    <w:rsid w:val="00F76CF8"/>
    <w:rsid w:val="00F83B54"/>
    <w:rsid w:val="00F9433F"/>
    <w:rsid w:val="00FA06A3"/>
    <w:rsid w:val="00FB177C"/>
    <w:rsid w:val="00FB3485"/>
    <w:rsid w:val="00FB5194"/>
    <w:rsid w:val="00FE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A41C3"/>
  <w15:chartTrackingRefBased/>
  <w15:docId w15:val="{6CD769A4-7618-4A4E-97AD-0F6F9D58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04A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04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04A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04A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04A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04A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04A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04A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04A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04A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04A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04A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04AA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04AA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04AA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04AA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04AA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04AA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04A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04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04AA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04A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04A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04AA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04AA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04AA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04A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04AA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04AA9"/>
    <w:rPr>
      <w:b/>
      <w:bCs/>
      <w:smallCaps/>
      <w:color w:val="0F4761" w:themeColor="accent1" w:themeShade="BF"/>
      <w:spacing w:val="5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04AA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04AA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04AA9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504AA9"/>
    <w:rPr>
      <w:color w:val="467886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04AA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04AA9"/>
  </w:style>
  <w:style w:type="paragraph" w:styleId="Pieddepage">
    <w:name w:val="footer"/>
    <w:basedOn w:val="Normal"/>
    <w:link w:val="PieddepageCar"/>
    <w:uiPriority w:val="99"/>
    <w:unhideWhenUsed/>
    <w:rsid w:val="00504AA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04AA9"/>
  </w:style>
  <w:style w:type="character" w:styleId="Mentionnonrsolue">
    <w:name w:val="Unresolved Mention"/>
    <w:basedOn w:val="Policepardfaut"/>
    <w:uiPriority w:val="99"/>
    <w:semiHidden/>
    <w:unhideWhenUsed/>
    <w:rsid w:val="00E11A9B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F431C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431C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431C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431C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431CC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1D4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5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5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1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7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0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9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0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3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8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7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21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1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89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5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ntxpharm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.koumagnon@bcadvisory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1EAB12F-BE7B-C349-A7F7-8F82B1593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PORTEJOIE</dc:creator>
  <cp:keywords/>
  <dc:description/>
  <cp:lastModifiedBy>LJamot</cp:lastModifiedBy>
  <cp:revision>35</cp:revision>
  <dcterms:created xsi:type="dcterms:W3CDTF">2025-06-03T15:26:00Z</dcterms:created>
  <dcterms:modified xsi:type="dcterms:W3CDTF">2025-06-16T14:23:00Z</dcterms:modified>
</cp:coreProperties>
</file>