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>
      <w:pPr>
        <w:jc w:val="center"/>
        <w:rPr>
          <w:rFonts w:cs="Times New Roman"/>
          <w:b/>
          <w:color w:val="5770BE"/>
          <w:sz w:val="26"/>
          <w:szCs w:val="26"/>
        </w:rPr>
      </w:pPr>
      <w:r>
        <w:rPr>
          <w:rFonts w:cs="Times New Roman"/>
          <w:b/>
          <w:color w:val="5770BE"/>
          <w:sz w:val="26"/>
          <w:szCs w:val="26"/>
        </w:rPr>
        <w:t>Produits éligibles au volet « Relocalisation ou renforcement de la chaîne de valeur des médicaments essentiels » de l’AAP « Industrialisation et Capacités Santé 2030 »</w:t>
      </w:r>
    </w:p>
    <w:p>
      <w:pPr>
        <w:shd w:val="clear" w:color="auto" w:fill="FFFFFF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>
      <w:pPr>
        <w:shd w:val="clear" w:color="auto" w:fill="FFFFFF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Parmi les 450 médicaments essentiels dont la liste a été publiée par le Ministère de la Santé et de la Prévention</w:t>
      </w:r>
      <w:r>
        <w:rPr>
          <w:rStyle w:val="Appelnotedebasdep"/>
          <w:rFonts w:eastAsia="Times New Roman" w:cs="Times New Roman"/>
          <w:b/>
          <w:sz w:val="20"/>
          <w:szCs w:val="20"/>
        </w:rPr>
        <w:footnoteReference w:id="1"/>
      </w:r>
      <w:r>
        <w:rPr>
          <w:rFonts w:eastAsia="Times New Roman" w:cs="Times New Roman"/>
          <w:b/>
          <w:sz w:val="20"/>
          <w:szCs w:val="20"/>
        </w:rPr>
        <w:t>, des travaux interministériels ont permis d’établir que certains de ces médicaments essentiels peuvent présenter une vulnérabilité d’un point de vue industriel en raison d’approvisionnements dépendants d’importations extra-européennes, et nécessitent de focaliser les politiques publiques en matière de relocalisations.</w:t>
      </w:r>
    </w:p>
    <w:p>
      <w:pPr>
        <w:shd w:val="clear" w:color="auto" w:fill="FFFFFF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>
      <w:pPr>
        <w:shd w:val="clear" w:color="auto" w:fill="FFFFFF"/>
        <w:contextualSpacing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Ces médicaments ont été sélectionnés pour leur criticité thérapeutique et pour la vulnérabilité industrielle de leur chaîne d’approvisionnement</w:t>
      </w:r>
      <w:r>
        <w:rPr>
          <w:rFonts w:eastAsia="Times New Roman" w:cs="Times New Roman"/>
          <w:sz w:val="20"/>
          <w:szCs w:val="20"/>
          <w:vertAlign w:val="superscript"/>
        </w:rPr>
        <w:footnoteReference w:id="2"/>
      </w:r>
      <w:r>
        <w:rPr>
          <w:rFonts w:eastAsia="Times New Roman" w:cs="Times New Roman"/>
          <w:sz w:val="20"/>
          <w:szCs w:val="20"/>
        </w:rPr>
        <w:t xml:space="preserve">. La liste sera progressivement élargie. </w:t>
      </w:r>
    </w:p>
    <w:p>
      <w:pPr>
        <w:shd w:val="clear" w:color="auto" w:fill="FFFFFF"/>
        <w:contextualSpacing/>
        <w:jc w:val="both"/>
        <w:rPr>
          <w:rFonts w:eastAsia="Times New Roman" w:cs="Times New Roman"/>
          <w:sz w:val="20"/>
          <w:szCs w:val="20"/>
        </w:rPr>
      </w:pPr>
    </w:p>
    <w:p>
      <w:pPr>
        <w:shd w:val="clear" w:color="auto" w:fill="FFFFFF"/>
        <w:spacing w:after="240"/>
        <w:contextualSpacing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Cette liste de médicaments essentiels vulnérables d’un point de vue industriel pourra être amenée à évoluer.</w:t>
      </w:r>
    </w:p>
    <w:p>
      <w:pPr>
        <w:rPr>
          <w:rFonts w:eastAsia="Times New Roman" w:cs="Calibri"/>
          <w:color w:val="212121"/>
          <w:sz w:val="20"/>
          <w:lang w:eastAsia="fr-FR"/>
        </w:rPr>
      </w:pPr>
    </w:p>
    <w:p>
      <w:pPr>
        <w:rPr>
          <w:rFonts w:eastAsia="Times New Roman" w:cs="Calibri"/>
          <w:i/>
          <w:color w:val="212121"/>
          <w:sz w:val="20"/>
          <w:lang w:eastAsia="fr-FR"/>
        </w:rPr>
      </w:pPr>
      <w:r>
        <w:rPr>
          <w:rFonts w:eastAsia="Times New Roman" w:cs="Calibri"/>
          <w:i/>
          <w:color w:val="212121"/>
          <w:sz w:val="20"/>
          <w:lang w:eastAsia="fr-FR"/>
        </w:rPr>
        <w:t>Mise à jour : 20/07/2023</w:t>
      </w:r>
    </w:p>
    <w:p>
      <w:pPr>
        <w:jc w:val="both"/>
        <w:rPr>
          <w:rFonts w:eastAsia="Times New Roman" w:cs="Calibri"/>
          <w:color w:val="212121"/>
          <w:sz w:val="20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>
        <w:trPr>
          <w:trHeight w:val="300"/>
        </w:trPr>
        <w:tc>
          <w:tcPr>
            <w:tcW w:w="6799" w:type="dxa"/>
            <w:shd w:val="clear" w:color="auto" w:fill="B7B7B7" w:themeFill="background2" w:themeFillTint="99"/>
            <w:noWrap/>
          </w:tcPr>
          <w:p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DCI</w:t>
            </w:r>
          </w:p>
        </w:tc>
        <w:tc>
          <w:tcPr>
            <w:tcW w:w="2268" w:type="dxa"/>
            <w:shd w:val="clear" w:color="auto" w:fill="B7B7B7" w:themeFill="background2" w:themeFillTint="99"/>
            <w:noWrap/>
          </w:tcPr>
          <w:p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Code ATC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6-Mercaptopurine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L01BB02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bookmarkStart w:id="0" w:name="OLE_LINK1" w:colFirst="0" w:colLast="0"/>
            <w:r>
              <w:rPr>
                <w:rFonts w:eastAsia="Calibri"/>
                <w:sz w:val="20"/>
                <w:szCs w:val="20"/>
              </w:rPr>
              <w:t>6-Thioguanine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L01BB03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Acetylsalicylique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Acide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B01AC06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bookmarkStart w:id="1" w:name="RANGE!B2"/>
            <w:proofErr w:type="spellStart"/>
            <w:r>
              <w:rPr>
                <w:rFonts w:eastAsia="Calibri"/>
                <w:sz w:val="20"/>
                <w:szCs w:val="20"/>
              </w:rPr>
              <w:t>Adrenaline</w:t>
            </w:r>
            <w:bookmarkEnd w:id="1"/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C01CA24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Amiloride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C03DB01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Amlodipine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C08CA01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Amoxicilline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J01CA04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Apomorphine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N04BC07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Atorvastatine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C10AA05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Atropine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A03BA01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Bisoprolol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C07AB07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Bléomycine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L01DC01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Bosentan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C02KX01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Busulfan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L01AB01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Cangrelor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B01AC25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Captopril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C09AA01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Carbamazepine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N03AF01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Carboplatine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L01XA02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Carboxymaltose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ferrique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B03AC01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Carmustine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L01AD01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Carvedilol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C07AG02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Ciclosporine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L04AD01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Ciprofloxacine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J01MA02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Cisatracurium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M03AC11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Cisplatine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L01XA01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Clonazepam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N03AE01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Clopidogrel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B01AC04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Colchicine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M04AC01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Colecalciferol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A11CC05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Cyclophosphamide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L01AA01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Cytarabine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L01BC01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Dacarbazine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L01AX04</w:t>
            </w:r>
          </w:p>
        </w:tc>
      </w:tr>
      <w:tr>
        <w:trPr>
          <w:trHeight w:val="300"/>
        </w:trPr>
        <w:tc>
          <w:tcPr>
            <w:tcW w:w="6799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Daltéparine</w:t>
            </w:r>
            <w:proofErr w:type="spellEnd"/>
          </w:p>
        </w:tc>
        <w:tc>
          <w:tcPr>
            <w:tcW w:w="2268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B01AB04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Danaparoide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sodique ou </w:t>
            </w:r>
            <w:proofErr w:type="spellStart"/>
            <w:r>
              <w:rPr>
                <w:rFonts w:eastAsia="Calibri"/>
                <w:sz w:val="20"/>
                <w:szCs w:val="20"/>
              </w:rPr>
              <w:t>argatroban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B01AE03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Dapagliflozine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A10BK01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Daunorubicine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L01DB02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Diazepam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N05BA01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Dobutamine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C01CA07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C09AA02</w:t>
            </w:r>
          </w:p>
        </w:tc>
      </w:tr>
      <w:tr>
        <w:trPr>
          <w:trHeight w:val="300"/>
        </w:trPr>
        <w:tc>
          <w:tcPr>
            <w:tcW w:w="6799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Enoxaparine</w:t>
            </w:r>
            <w:proofErr w:type="spellEnd"/>
          </w:p>
        </w:tc>
        <w:tc>
          <w:tcPr>
            <w:tcW w:w="2268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B01AB05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Eplerenone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C03DA04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Epoprostenol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B01AC09</w:t>
            </w:r>
          </w:p>
        </w:tc>
      </w:tr>
      <w:tr>
        <w:trPr>
          <w:trHeight w:val="300"/>
        </w:trPr>
        <w:tc>
          <w:tcPr>
            <w:tcW w:w="6799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Esomeprazole</w:t>
            </w:r>
            <w:proofErr w:type="spellEnd"/>
          </w:p>
        </w:tc>
        <w:tc>
          <w:tcPr>
            <w:tcW w:w="2268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A02BC05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Etoposide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L01CB01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Everolimus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L01XE10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Felbamate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N03AX10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Fentanyl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N02AB03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Fer pour préparations parentérales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B03AC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Flecainide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C01BC04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Fludarabine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L01BB05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Flumazenil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V03AB25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Fluorouracile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L01BC02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Fluvastatine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C10AA04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Furosemide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C03CA01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Gabapentine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N03AX12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Glucagon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H04AA01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Gluconate de calcium (injectable)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A12AA03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Héparine sodique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B01AB01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Hydrochlorothiazide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C03AA03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Insuline rapide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A10AB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Isoprenaline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C01CA02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Isosorbide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dinitrate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C01DA08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Kétamine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N01AX03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Lamotrigine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N03AX09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Lansoprazole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A02BC03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N03AX14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Melphalan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L01AA03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Methyldopa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szCs w:val="20"/>
              </w:rPr>
              <w:t>racemique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C02AB02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Méthylprednisolone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H02AB04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Midazolam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N05CD08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Mitomycine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L01DC03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Mitoxantrone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L01DB07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Morphine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N02AA01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Mycophenolique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acide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L04AA06</w:t>
            </w:r>
          </w:p>
        </w:tc>
      </w:tr>
      <w:tr>
        <w:trPr>
          <w:trHeight w:val="300"/>
        </w:trPr>
        <w:tc>
          <w:tcPr>
            <w:tcW w:w="6799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Nadroparine</w:t>
            </w:r>
          </w:p>
        </w:tc>
        <w:tc>
          <w:tcPr>
            <w:tcW w:w="2268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B01AB06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Naloxone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V03AB15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Neostigmine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N07AA01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Neosynephine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Calibri"/>
                <w:sz w:val="20"/>
                <w:szCs w:val="20"/>
              </w:rPr>
              <w:t>phenylephrine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C01CA06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Nitroglycerine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/ trinitrine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C01DA02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Noradrénaline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C01CA03</w:t>
            </w:r>
          </w:p>
        </w:tc>
      </w:tr>
      <w:tr>
        <w:trPr>
          <w:trHeight w:val="300"/>
        </w:trPr>
        <w:tc>
          <w:tcPr>
            <w:tcW w:w="6799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Oméprazole</w:t>
            </w:r>
          </w:p>
        </w:tc>
        <w:tc>
          <w:tcPr>
            <w:tcW w:w="2268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A02BC01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Oxaliplatine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L01XA03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Oxcarbazepine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N03AF02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Oxytocine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H01BB02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Paclitaxel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L01CD01</w:t>
            </w:r>
          </w:p>
        </w:tc>
      </w:tr>
      <w:tr>
        <w:trPr>
          <w:trHeight w:val="300"/>
        </w:trPr>
        <w:tc>
          <w:tcPr>
            <w:tcW w:w="6799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Pantoprazole</w:t>
            </w:r>
          </w:p>
        </w:tc>
        <w:tc>
          <w:tcPr>
            <w:tcW w:w="2268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A02BC02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Paracétamol adulte (&gt;= 500mg) hors injectable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N02BE01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Paracétamol pédiatrique (&lt; 500mg) hors injectable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N02BE01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C09AA04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Phenobarbital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N03AA02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Prasugrel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B01AC22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Prazosine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C02CA01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Pregabaline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N03AX16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Propofol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N01AX10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Propranolol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C07AA05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Protamine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V03AB14</w:t>
            </w:r>
          </w:p>
        </w:tc>
      </w:tr>
      <w:tr>
        <w:trPr>
          <w:trHeight w:val="300"/>
        </w:trPr>
        <w:tc>
          <w:tcPr>
            <w:tcW w:w="6799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Rabéprazole</w:t>
            </w:r>
          </w:p>
        </w:tc>
        <w:tc>
          <w:tcPr>
            <w:tcW w:w="2268" w:type="dxa"/>
            <w:noWrap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A02BC04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Ramipril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C09AA05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Riluzole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N07XX02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Rocuronium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M03AC09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Rosuvastatine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C10AA07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Sacubitril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valsartan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C09DX04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Salbutamol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R03AL02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Sévorane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N01AB08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Sotalol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C07AA07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Spironolactone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C03DA01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Sufentanil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N01AH03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Suxamethonium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Succinylcholine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M03AB01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Telmisartan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C09CA07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Temozolomide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L01AX03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Thiotepa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L01AC01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Tinzaparine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B01AB10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Tirofiban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B01AC17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Tolcapone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N04BX01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Topiramate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N03AX11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Topotecan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L01XX17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Treprostinil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B01AC21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Trioxyde d'arsenic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bookmarkStart w:id="2" w:name="RANGE!C48"/>
            <w:r>
              <w:rPr>
                <w:rFonts w:eastAsia="Calibri"/>
                <w:sz w:val="20"/>
                <w:szCs w:val="20"/>
              </w:rPr>
              <w:t>L01XX27</w:t>
            </w:r>
            <w:bookmarkEnd w:id="2"/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Urapidil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C02CA06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Valproique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acide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N03AG01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Valsartan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C09CA03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Verapamil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C08DA01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Vigabatrin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N03AG04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Vincristine</w:t>
            </w:r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L01CA02</w:t>
            </w:r>
          </w:p>
        </w:tc>
      </w:tr>
      <w:tr>
        <w:trPr>
          <w:trHeight w:val="300"/>
        </w:trPr>
        <w:tc>
          <w:tcPr>
            <w:tcW w:w="6799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Zonisamide</w:t>
            </w:r>
            <w:proofErr w:type="spellEnd"/>
          </w:p>
        </w:tc>
        <w:tc>
          <w:tcPr>
            <w:tcW w:w="2268" w:type="dxa"/>
            <w:noWrap/>
            <w:hideMark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N03AX15</w:t>
            </w:r>
          </w:p>
        </w:tc>
      </w:tr>
      <w:bookmarkEnd w:id="0"/>
    </w:tbl>
    <w:p>
      <w:pPr>
        <w:shd w:val="clear" w:color="auto" w:fill="FFFFFF"/>
        <w:jc w:val="both"/>
        <w:rPr>
          <w:rFonts w:cs="Times New Roman"/>
          <w:caps/>
          <w:sz w:val="20"/>
          <w:szCs w:val="20"/>
        </w:rPr>
      </w:pPr>
    </w:p>
    <w:sectPr>
      <w:headerReference w:type="default" r:id="rId8"/>
      <w:headerReference w:type="first" r:id="rId9"/>
      <w:pgSz w:w="11906" w:h="16838"/>
      <w:pgMar w:top="1418" w:right="1134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 Medium">
    <w:altName w:val="Times New Roman"/>
    <w:charset w:val="00"/>
    <w:family w:val="roman"/>
    <w:pitch w:val="variable"/>
    <w:sig w:usb0="00000001" w:usb1="4000E43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  <w:sz w:val="14"/>
            <w:szCs w:val="14"/>
          </w:rPr>
          <w:t>https://sante.gouv.fr/IMG/pdf/liste-medicaments-essentiels_acc.pdf</w:t>
        </w:r>
      </w:hyperlink>
    </w:p>
  </w:footnote>
  <w:footnote w:id="2">
    <w:p>
      <w:pPr>
        <w:pStyle w:val="Notedebasdepage"/>
        <w:jc w:val="both"/>
        <w:rPr>
          <w:sz w:val="14"/>
          <w:szCs w:val="14"/>
        </w:rPr>
      </w:pPr>
      <w:r>
        <w:rPr>
          <w:rStyle w:val="Appelnotedebasdep"/>
          <w:sz w:val="14"/>
          <w:szCs w:val="14"/>
        </w:rPr>
        <w:footnoteRef/>
      </w:r>
      <w:r>
        <w:rPr>
          <w:sz w:val="14"/>
          <w:szCs w:val="14"/>
        </w:rPr>
        <w:t xml:space="preserve"> Notamment par l’étude de la chaîne de valeur selon une méthodologie inspirée du rapport IGAS/CGE </w:t>
      </w:r>
      <w:r>
        <w:rPr>
          <w:i/>
          <w:sz w:val="14"/>
          <w:szCs w:val="14"/>
        </w:rPr>
        <w:t>Les vulnérabilités d’approvisionnement en produits de santé</w:t>
      </w:r>
      <w:r>
        <w:rPr>
          <w:sz w:val="14"/>
          <w:szCs w:val="14"/>
        </w:rPr>
        <w:t xml:space="preserve">, prenant en compte la multiplicité des exploitants et des sites de production (principes actifs, produits finis) ainsi que la localisation (UE/hors UE) des sites de production (principes actifs, produits finis) et l’historique des ruptures.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153035</wp:posOffset>
          </wp:positionV>
          <wp:extent cx="1605668" cy="4603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68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276350" cy="76474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64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83"/>
    <w:multiLevelType w:val="hybridMultilevel"/>
    <w:tmpl w:val="2278B252"/>
    <w:lvl w:ilvl="0" w:tplc="A84AB0A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AA3"/>
    <w:multiLevelType w:val="hybridMultilevel"/>
    <w:tmpl w:val="E6CCCAF4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BFC2FE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923"/>
    <w:multiLevelType w:val="hybridMultilevel"/>
    <w:tmpl w:val="F3D2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2DA8"/>
    <w:multiLevelType w:val="hybridMultilevel"/>
    <w:tmpl w:val="91669370"/>
    <w:lvl w:ilvl="0" w:tplc="D8609762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01C3"/>
    <w:multiLevelType w:val="hybridMultilevel"/>
    <w:tmpl w:val="E9285CA4"/>
    <w:lvl w:ilvl="0" w:tplc="736A0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6F96"/>
    <w:multiLevelType w:val="hybridMultilevel"/>
    <w:tmpl w:val="919EE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11329"/>
    <w:multiLevelType w:val="hybridMultilevel"/>
    <w:tmpl w:val="8102A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0C4"/>
    <w:multiLevelType w:val="hybridMultilevel"/>
    <w:tmpl w:val="8488EB9C"/>
    <w:lvl w:ilvl="0" w:tplc="26DE9C0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4939"/>
    <w:multiLevelType w:val="hybridMultilevel"/>
    <w:tmpl w:val="9CA25AD6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3A4D"/>
    <w:multiLevelType w:val="hybridMultilevel"/>
    <w:tmpl w:val="B9F46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6A75"/>
    <w:multiLevelType w:val="hybridMultilevel"/>
    <w:tmpl w:val="568EEB6A"/>
    <w:lvl w:ilvl="0" w:tplc="CC2AF3B6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8E6"/>
    <w:multiLevelType w:val="hybridMultilevel"/>
    <w:tmpl w:val="A81CE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A4FB7"/>
    <w:multiLevelType w:val="hybridMultilevel"/>
    <w:tmpl w:val="D9623D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33060"/>
    <w:multiLevelType w:val="hybridMultilevel"/>
    <w:tmpl w:val="0D302B98"/>
    <w:lvl w:ilvl="0" w:tplc="42E837AE">
      <w:start w:val="1"/>
      <w:numFmt w:val="decimal"/>
      <w:pStyle w:val="Titre1"/>
      <w:lvlText w:val="%1 -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6F29"/>
    <w:multiLevelType w:val="hybridMultilevel"/>
    <w:tmpl w:val="23C46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86B48"/>
    <w:multiLevelType w:val="hybridMultilevel"/>
    <w:tmpl w:val="C9124D90"/>
    <w:lvl w:ilvl="0" w:tplc="63BE08BE">
      <w:start w:val="20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96D92"/>
    <w:multiLevelType w:val="hybridMultilevel"/>
    <w:tmpl w:val="1ECA7098"/>
    <w:lvl w:ilvl="0" w:tplc="ED1AA6D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2E"/>
    <w:multiLevelType w:val="hybridMultilevel"/>
    <w:tmpl w:val="C35E7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84200"/>
    <w:multiLevelType w:val="hybridMultilevel"/>
    <w:tmpl w:val="EE5AB42E"/>
    <w:lvl w:ilvl="0" w:tplc="423C81F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7392"/>
    <w:multiLevelType w:val="hybridMultilevel"/>
    <w:tmpl w:val="062870FC"/>
    <w:lvl w:ilvl="0" w:tplc="03702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C402D34">
      <w:start w:val="1"/>
      <w:numFmt w:val="lowerLetter"/>
      <w:lvlText w:val="%2."/>
      <w:lvlJc w:val="left"/>
      <w:pPr>
        <w:ind w:left="1440" w:hanging="360"/>
      </w:pPr>
      <w:rPr>
        <w:color w:val="878787" w:themeColor="background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29A9"/>
    <w:multiLevelType w:val="hybridMultilevel"/>
    <w:tmpl w:val="EEF6ECCC"/>
    <w:lvl w:ilvl="0" w:tplc="1C402D34">
      <w:start w:val="1"/>
      <w:numFmt w:val="lowerLetter"/>
      <w:lvlText w:val="%1."/>
      <w:lvlJc w:val="left"/>
      <w:pPr>
        <w:ind w:left="1440" w:hanging="360"/>
      </w:pPr>
      <w:rPr>
        <w:color w:val="878787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1041"/>
    <w:multiLevelType w:val="hybridMultilevel"/>
    <w:tmpl w:val="A6DE32FA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BFC2FE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B047F"/>
    <w:multiLevelType w:val="hybridMultilevel"/>
    <w:tmpl w:val="7A4A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5DF9"/>
    <w:multiLevelType w:val="hybridMultilevel"/>
    <w:tmpl w:val="67023726"/>
    <w:lvl w:ilvl="0" w:tplc="97F4F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0653"/>
    <w:multiLevelType w:val="hybridMultilevel"/>
    <w:tmpl w:val="3F7AB874"/>
    <w:lvl w:ilvl="0" w:tplc="15666FC4">
      <w:start w:val="20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11B50"/>
    <w:multiLevelType w:val="hybridMultilevel"/>
    <w:tmpl w:val="3ED01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1739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1AB5"/>
    <w:multiLevelType w:val="hybridMultilevel"/>
    <w:tmpl w:val="6A1E7E40"/>
    <w:lvl w:ilvl="0" w:tplc="1C402D34">
      <w:start w:val="1"/>
      <w:numFmt w:val="lowerLetter"/>
      <w:lvlText w:val="%1."/>
      <w:lvlJc w:val="left"/>
      <w:pPr>
        <w:ind w:left="1440" w:hanging="360"/>
      </w:pPr>
      <w:rPr>
        <w:color w:val="878787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75443"/>
    <w:multiLevelType w:val="hybridMultilevel"/>
    <w:tmpl w:val="B85408B0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52A3"/>
    <w:multiLevelType w:val="hybridMultilevel"/>
    <w:tmpl w:val="1CEA8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17A57"/>
    <w:multiLevelType w:val="hybridMultilevel"/>
    <w:tmpl w:val="0FF2F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24D13"/>
    <w:multiLevelType w:val="hybridMultilevel"/>
    <w:tmpl w:val="E62850BA"/>
    <w:lvl w:ilvl="0" w:tplc="E760F080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476D"/>
    <w:multiLevelType w:val="hybridMultilevel"/>
    <w:tmpl w:val="6518AE1A"/>
    <w:lvl w:ilvl="0" w:tplc="8638A326">
      <w:start w:val="1"/>
      <w:numFmt w:val="bullet"/>
      <w:lvlText w:val="-"/>
      <w:lvlJc w:val="left"/>
      <w:pPr>
        <w:ind w:left="720" w:hanging="360"/>
      </w:pPr>
      <w:rPr>
        <w:rFonts w:ascii="Marianne" w:eastAsia="Times New Roman" w:hAnsi="Marianne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869"/>
    <w:multiLevelType w:val="hybridMultilevel"/>
    <w:tmpl w:val="BEBE166A"/>
    <w:lvl w:ilvl="0" w:tplc="1C402D34">
      <w:start w:val="1"/>
      <w:numFmt w:val="lowerLetter"/>
      <w:lvlText w:val="%1."/>
      <w:lvlJc w:val="left"/>
      <w:pPr>
        <w:ind w:left="1440" w:hanging="360"/>
      </w:pPr>
      <w:rPr>
        <w:color w:val="878787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24"/>
  </w:num>
  <w:num w:numId="10">
    <w:abstractNumId w:val="29"/>
  </w:num>
  <w:num w:numId="11">
    <w:abstractNumId w:val="17"/>
  </w:num>
  <w:num w:numId="12">
    <w:abstractNumId w:val="27"/>
  </w:num>
  <w:num w:numId="13">
    <w:abstractNumId w:val="21"/>
  </w:num>
  <w:num w:numId="14">
    <w:abstractNumId w:val="1"/>
  </w:num>
  <w:num w:numId="15">
    <w:abstractNumId w:val="8"/>
  </w:num>
  <w:num w:numId="16">
    <w:abstractNumId w:val="3"/>
  </w:num>
  <w:num w:numId="17">
    <w:abstractNumId w:val="32"/>
  </w:num>
  <w:num w:numId="18">
    <w:abstractNumId w:val="23"/>
  </w:num>
  <w:num w:numId="19">
    <w:abstractNumId w:val="0"/>
  </w:num>
  <w:num w:numId="20">
    <w:abstractNumId w:val="31"/>
  </w:num>
  <w:num w:numId="21">
    <w:abstractNumId w:val="20"/>
  </w:num>
  <w:num w:numId="22">
    <w:abstractNumId w:val="25"/>
  </w:num>
  <w:num w:numId="23">
    <w:abstractNumId w:val="26"/>
  </w:num>
  <w:num w:numId="24">
    <w:abstractNumId w:val="16"/>
  </w:num>
  <w:num w:numId="25">
    <w:abstractNumId w:val="7"/>
  </w:num>
  <w:num w:numId="26">
    <w:abstractNumId w:val="2"/>
  </w:num>
  <w:num w:numId="27">
    <w:abstractNumId w:val="22"/>
  </w:num>
  <w:num w:numId="28">
    <w:abstractNumId w:val="9"/>
  </w:num>
  <w:num w:numId="29">
    <w:abstractNumId w:val="11"/>
  </w:num>
  <w:num w:numId="30">
    <w:abstractNumId w:val="14"/>
  </w:num>
  <w:num w:numId="31">
    <w:abstractNumId w:val="18"/>
  </w:num>
  <w:num w:numId="32">
    <w:abstractNumId w:val="12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F0AFEB-2631-4D76-8F56-7BA1E9D0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hAnsi="Mariann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bCs/>
      <w:color w:val="5770BE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2"/>
      </w:numPr>
      <w:ind w:left="714" w:hanging="357"/>
      <w:outlineLvl w:val="1"/>
    </w:pPr>
    <w:rPr>
      <w:rFonts w:eastAsiaTheme="majorEastAsia" w:cstheme="majorBidi"/>
      <w:b/>
      <w:bCs/>
      <w:color w:val="7F7F7F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00395C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Marianne" w:eastAsiaTheme="majorEastAsia" w:hAnsi="Marianne" w:cstheme="majorBidi"/>
      <w:b/>
      <w:bCs/>
      <w:color w:val="5770BE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Pr>
      <w:rFonts w:ascii="Marianne" w:eastAsiaTheme="majorEastAsia" w:hAnsi="Marianne" w:cstheme="majorBidi"/>
      <w:b/>
      <w:bCs/>
      <w:color w:val="7F7F7F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qFormat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Pr>
      <w:sz w:val="20"/>
      <w:szCs w:val="20"/>
    </w:rPr>
  </w:style>
  <w:style w:type="character" w:styleId="Appelnotedebasdep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F"/>
    <w:basedOn w:val="Policepardfaut"/>
    <w:uiPriority w:val="99"/>
    <w:unhideWhenUsed/>
    <w:qFormat/>
    <w:rPr>
      <w:vertAlign w:val="superscript"/>
    </w:rPr>
  </w:style>
  <w:style w:type="paragraph" w:styleId="Sansinterligne">
    <w:name w:val="No Spacing"/>
    <w:uiPriority w:val="1"/>
    <w:qFormat/>
    <w:rPr>
      <w:rFonts w:ascii="Marianne" w:hAnsi="Mariann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Marianne" w:eastAsiaTheme="majorEastAsia" w:hAnsi="Marianne" w:cstheme="majorBidi"/>
      <w:color w:val="00395C" w:themeColor="accent1" w:themeShade="7F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Marianne" w:eastAsiaTheme="minorEastAsia" w:hAnsi="Marianne" w:cstheme="minorBidi"/>
      <w:color w:val="5A5A5A" w:themeColor="text1" w:themeTint="A5"/>
      <w:spacing w:val="15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rFonts w:ascii="Spectral Medium" w:hAnsi="Spectral Medium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Spectral Medium" w:hAnsi="Spectral Medium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/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Pr>
      <w:rFonts w:ascii="Arial" w:hAnsi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PieddePage2">
    <w:name w:val="Pied de Page 2"/>
    <w:basedOn w:val="Normal"/>
    <w:next w:val="Corpsdetexte"/>
    <w:link w:val="PieddePage2Car"/>
    <w:qFormat/>
    <w:pPr>
      <w:widowControl w:val="0"/>
      <w:autoSpaceDE w:val="0"/>
      <w:autoSpaceDN w:val="0"/>
      <w:spacing w:line="161" w:lineRule="exact"/>
    </w:pPr>
    <w:rPr>
      <w:rFonts w:ascii="Arial" w:hAnsi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Pr>
      <w:rFonts w:ascii="Arial" w:hAnsi="Arial"/>
      <w:color w:val="939598"/>
      <w:sz w:val="14"/>
    </w:rPr>
  </w:style>
  <w:style w:type="paragraph" w:customStyle="1" w:styleId="Pieddepage20">
    <w:name w:val="Pied de page 2"/>
    <w:basedOn w:val="Normal"/>
    <w:next w:val="Corpsdetexte"/>
    <w:link w:val="Pieddepage2Car0"/>
    <w:qFormat/>
    <w:pPr>
      <w:widowControl w:val="0"/>
      <w:autoSpaceDE w:val="0"/>
      <w:autoSpaceDN w:val="0"/>
      <w:spacing w:line="161" w:lineRule="exact"/>
    </w:pPr>
    <w:rPr>
      <w:rFonts w:ascii="Arial" w:hAnsi="Arial"/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Pr>
      <w:rFonts w:ascii="Arial" w:hAnsi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Marianne" w:hAnsi="Marianne"/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nte.gouv.fr/IMG/pdf/liste-medicaments-essentiels_acc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C02846"/>
      </a:lt1>
      <a:dk2>
        <a:srgbClr val="5A5A5A"/>
      </a:dk2>
      <a:lt2>
        <a:srgbClr val="878787"/>
      </a:lt2>
      <a:accent1>
        <a:srgbClr val="0075BA"/>
      </a:accent1>
      <a:accent2>
        <a:srgbClr val="00FFB3"/>
      </a:accent2>
      <a:accent3>
        <a:srgbClr val="80FF33"/>
      </a:accent3>
      <a:accent4>
        <a:srgbClr val="FF8C00"/>
      </a:accent4>
      <a:accent5>
        <a:srgbClr val="FF5980"/>
      </a:accent5>
      <a:accent6>
        <a:srgbClr val="FF1940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8C96-5F17-44DF-8737-F430B6A3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BERTRAND</dc:creator>
  <cp:lastModifiedBy>DINAR-FARJON Diane</cp:lastModifiedBy>
  <cp:revision>5</cp:revision>
  <cp:lastPrinted>2023-02-24T14:43:00Z</cp:lastPrinted>
  <dcterms:created xsi:type="dcterms:W3CDTF">2023-07-20T12:26:00Z</dcterms:created>
  <dcterms:modified xsi:type="dcterms:W3CDTF">2023-07-20T13:57:00Z</dcterms:modified>
</cp:coreProperties>
</file>